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52"/>
          <w:szCs w:val="52"/>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adjustRightInd w:val="0"/>
        <w:snapToGrid w:val="0"/>
        <w:spacing w:line="360" w:lineRule="auto"/>
        <w:jc w:val="center"/>
        <w:rPr>
          <w:rFonts w:ascii="华文中宋" w:hAnsi="华文中宋" w:eastAsia="华文中宋"/>
          <w:sz w:val="44"/>
          <w:szCs w:val="44"/>
        </w:rPr>
      </w:pPr>
      <w:r>
        <w:rPr>
          <w:rFonts w:hint="eastAsia" w:ascii="华文中宋" w:hAnsi="华文中宋" w:eastAsia="华文中宋"/>
          <w:sz w:val="44"/>
          <w:szCs w:val="44"/>
        </w:rPr>
        <w:t>北京市科学技术协会</w:t>
      </w:r>
    </w:p>
    <w:p>
      <w:pPr>
        <w:adjustRightInd w:val="0"/>
        <w:snapToGrid w:val="0"/>
        <w:spacing w:line="360" w:lineRule="auto"/>
        <w:jc w:val="center"/>
        <w:rPr>
          <w:rFonts w:ascii="华文中宋" w:hAnsi="华文中宋" w:eastAsia="华文中宋"/>
          <w:sz w:val="44"/>
          <w:szCs w:val="44"/>
        </w:rPr>
      </w:pPr>
      <w:r>
        <w:rPr>
          <w:rFonts w:hint="eastAsia" w:ascii="华文中宋" w:hAnsi="华文中宋" w:eastAsia="华文中宋"/>
          <w:sz w:val="44"/>
          <w:szCs w:val="44"/>
        </w:rPr>
        <w:t>2</w:t>
      </w:r>
      <w:r>
        <w:rPr>
          <w:rFonts w:ascii="华文中宋" w:hAnsi="华文中宋" w:eastAsia="华文中宋"/>
          <w:sz w:val="44"/>
          <w:szCs w:val="44"/>
        </w:rPr>
        <w:t>021</w:t>
      </w:r>
      <w:r>
        <w:rPr>
          <w:rFonts w:hint="eastAsia" w:ascii="华文中宋" w:hAnsi="华文中宋" w:eastAsia="华文中宋"/>
          <w:sz w:val="44"/>
          <w:szCs w:val="44"/>
        </w:rPr>
        <w:t>年度部门整体绩效评价报告</w:t>
      </w: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napToGrid w:val="0"/>
        <w:spacing w:line="520" w:lineRule="exact"/>
        <w:jc w:val="center"/>
        <w:rPr>
          <w:rFonts w:hint="eastAsia" w:ascii="楷体_GB2312" w:hAnsi="仿宋" w:eastAsia="楷体_GB2312"/>
          <w:sz w:val="36"/>
          <w:szCs w:val="36"/>
          <w:lang w:val="en-US" w:eastAsia="zh-CN"/>
        </w:rPr>
      </w:pPr>
      <w:r>
        <w:rPr>
          <w:rFonts w:hint="eastAsia" w:ascii="楷体_GB2312" w:hAnsi="仿宋" w:eastAsia="楷体_GB2312"/>
          <w:sz w:val="36"/>
          <w:szCs w:val="36"/>
          <w:lang w:val="en-US" w:eastAsia="zh-CN"/>
        </w:rPr>
        <w:t>北京市科学技术协会</w:t>
      </w:r>
      <w:bookmarkStart w:id="26" w:name="_GoBack"/>
      <w:bookmarkEnd w:id="26"/>
    </w:p>
    <w:p>
      <w:pPr>
        <w:spacing w:line="560" w:lineRule="exact"/>
        <w:jc w:val="center"/>
        <w:rPr>
          <w:rFonts w:ascii="仿宋_GB2312" w:hAnsi="黑体" w:eastAsia="仿宋_GB2312"/>
          <w:sz w:val="24"/>
        </w:rPr>
      </w:pPr>
    </w:p>
    <w:p>
      <w:pPr>
        <w:snapToGrid w:val="0"/>
        <w:spacing w:line="520" w:lineRule="exact"/>
        <w:jc w:val="center"/>
        <w:rPr>
          <w:rFonts w:ascii="楷体_GB2312" w:hAnsi="仿宋" w:eastAsia="楷体_GB2312"/>
          <w:sz w:val="36"/>
          <w:szCs w:val="36"/>
        </w:rPr>
      </w:pPr>
      <w:r>
        <w:rPr>
          <w:rFonts w:hint="eastAsia" w:ascii="楷体_GB2312" w:hAnsi="仿宋" w:eastAsia="楷体_GB2312"/>
          <w:sz w:val="36"/>
          <w:szCs w:val="36"/>
        </w:rPr>
        <w:t>二</w:t>
      </w:r>
      <w:r>
        <w:rPr>
          <w:rFonts w:hint="eastAsia" w:ascii="微软雅黑" w:hAnsi="微软雅黑" w:eastAsia="微软雅黑" w:cs="微软雅黑"/>
          <w:sz w:val="36"/>
          <w:szCs w:val="36"/>
        </w:rPr>
        <w:t>〇</w:t>
      </w:r>
      <w:r>
        <w:rPr>
          <w:rFonts w:hint="eastAsia" w:ascii="楷体_GB2312" w:hAnsi="仿宋" w:eastAsia="楷体_GB2312"/>
          <w:sz w:val="36"/>
          <w:szCs w:val="36"/>
        </w:rPr>
        <w:t>二二年五月</w:t>
      </w:r>
    </w:p>
    <w:p>
      <w:pPr>
        <w:spacing w:line="560" w:lineRule="exact"/>
        <w:jc w:val="center"/>
        <w:rPr>
          <w:rFonts w:ascii="华文中宋" w:hAnsi="华文中宋" w:eastAsia="华文中宋"/>
          <w:sz w:val="36"/>
          <w:szCs w:val="36"/>
        </w:rPr>
      </w:pPr>
    </w:p>
    <w:p>
      <w:pPr>
        <w:spacing w:line="560" w:lineRule="exact"/>
        <w:jc w:val="center"/>
        <w:rPr>
          <w:rFonts w:ascii="华文中宋" w:hAnsi="华文中宋" w:eastAsia="华文中宋"/>
          <w:sz w:val="36"/>
          <w:szCs w:val="36"/>
        </w:rPr>
      </w:pPr>
    </w:p>
    <w:p>
      <w:pPr>
        <w:snapToGrid w:val="0"/>
        <w:spacing w:line="520" w:lineRule="exact"/>
        <w:jc w:val="center"/>
        <w:rPr>
          <w:rFonts w:ascii="楷体_GB2312" w:hAnsi="仿宋" w:eastAsia="楷体_GB2312"/>
          <w:sz w:val="32"/>
          <w:szCs w:val="32"/>
        </w:rPr>
        <w:sectPr>
          <w:footerReference r:id="rId3" w:type="even"/>
          <w:pgSz w:w="11906" w:h="16838"/>
          <w:pgMar w:top="1440" w:right="1800" w:bottom="1440" w:left="1800" w:header="851" w:footer="992" w:gutter="0"/>
          <w:pgNumType w:fmt="numberInDash"/>
          <w:cols w:space="425" w:num="1"/>
          <w:docGrid w:type="lines" w:linePitch="312" w:charSpace="0"/>
        </w:sectPr>
      </w:pPr>
    </w:p>
    <w:p>
      <w:pPr>
        <w:spacing w:line="560" w:lineRule="exact"/>
        <w:jc w:val="center"/>
        <w:rPr>
          <w:rFonts w:ascii="黑体" w:hAnsi="黑体" w:eastAsia="黑体"/>
          <w:sz w:val="36"/>
          <w:szCs w:val="36"/>
        </w:rPr>
      </w:pPr>
      <w:r>
        <w:rPr>
          <w:rFonts w:hint="eastAsia" w:ascii="黑体" w:hAnsi="黑体" w:eastAsia="黑体"/>
          <w:sz w:val="36"/>
          <w:szCs w:val="36"/>
        </w:rPr>
        <w:t>目  录</w:t>
      </w:r>
    </w:p>
    <w:p>
      <w:pPr>
        <w:adjustRightInd w:val="0"/>
        <w:snapToGrid w:val="0"/>
        <w:jc w:val="center"/>
        <w:rPr>
          <w:rFonts w:ascii="黑体" w:hAnsi="黑体" w:eastAsia="黑体" w:cs="仿宋_GB2312"/>
          <w:b/>
          <w:sz w:val="36"/>
          <w:szCs w:val="36"/>
        </w:rPr>
      </w:pPr>
    </w:p>
    <w:p>
      <w:pPr>
        <w:pStyle w:val="10"/>
        <w:tabs>
          <w:tab w:val="right" w:leader="dot" w:pos="8296"/>
        </w:tabs>
        <w:rPr>
          <w:rFonts w:ascii="仿宋_GB2312" w:eastAsia="仿宋_GB2312" w:hAnsiTheme="minorHAnsi" w:cstheme="minorBidi"/>
          <w:sz w:val="32"/>
          <w:szCs w:val="36"/>
        </w:rPr>
      </w:pPr>
      <w:r>
        <w:rPr>
          <w:rFonts w:hint="eastAsia" w:ascii="仿宋_GB2312" w:hAnsi="黑体" w:eastAsia="仿宋_GB2312"/>
          <w:b/>
          <w:sz w:val="32"/>
          <w:szCs w:val="32"/>
        </w:rPr>
        <w:fldChar w:fldCharType="begin"/>
      </w:r>
      <w:r>
        <w:rPr>
          <w:rFonts w:hint="eastAsia" w:ascii="仿宋_GB2312" w:hAnsi="黑体" w:eastAsia="仿宋_GB2312"/>
          <w:sz w:val="32"/>
          <w:szCs w:val="32"/>
        </w:rPr>
        <w:instrText xml:space="preserve"> TOC \o "1-2" \u </w:instrText>
      </w:r>
      <w:r>
        <w:rPr>
          <w:rFonts w:hint="eastAsia" w:ascii="仿宋_GB2312" w:hAnsi="黑体" w:eastAsia="仿宋_GB2312"/>
          <w:b/>
          <w:sz w:val="32"/>
          <w:szCs w:val="32"/>
        </w:rPr>
        <w:fldChar w:fldCharType="separate"/>
      </w:r>
      <w:r>
        <w:rPr>
          <w:rFonts w:ascii="仿宋_GB2312" w:hAnsi="黑体" w:eastAsia="仿宋_GB2312"/>
          <w:sz w:val="32"/>
          <w:szCs w:val="40"/>
        </w:rPr>
        <w:t>一、部门概况</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_Toc103362013 \h </w:instrText>
      </w:r>
      <w:r>
        <w:rPr>
          <w:rFonts w:ascii="仿宋_GB2312" w:eastAsia="仿宋_GB2312"/>
          <w:sz w:val="32"/>
          <w:szCs w:val="40"/>
        </w:rPr>
        <w:fldChar w:fldCharType="separate"/>
      </w:r>
      <w:r>
        <w:rPr>
          <w:rFonts w:ascii="仿宋_GB2312" w:eastAsia="仿宋_GB2312"/>
          <w:sz w:val="32"/>
          <w:szCs w:val="40"/>
        </w:rPr>
        <w:t>1</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（一）机构设置及职责工作任务情况</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_Toc103362014 \h </w:instrText>
      </w:r>
      <w:r>
        <w:rPr>
          <w:rFonts w:ascii="仿宋_GB2312" w:eastAsia="仿宋_GB2312"/>
          <w:sz w:val="32"/>
          <w:szCs w:val="40"/>
        </w:rPr>
        <w:fldChar w:fldCharType="separate"/>
      </w:r>
      <w:r>
        <w:rPr>
          <w:rFonts w:ascii="仿宋_GB2312" w:eastAsia="仿宋_GB2312"/>
          <w:sz w:val="32"/>
          <w:szCs w:val="40"/>
        </w:rPr>
        <w:t>1</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（二）部门整体绩效目标设立情况</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_Toc103362015 \h </w:instrText>
      </w:r>
      <w:r>
        <w:rPr>
          <w:rFonts w:ascii="仿宋_GB2312" w:eastAsia="仿宋_GB2312"/>
          <w:sz w:val="32"/>
          <w:szCs w:val="40"/>
        </w:rPr>
        <w:fldChar w:fldCharType="separate"/>
      </w:r>
      <w:r>
        <w:rPr>
          <w:rFonts w:ascii="仿宋_GB2312" w:eastAsia="仿宋_GB2312"/>
          <w:sz w:val="32"/>
          <w:szCs w:val="40"/>
        </w:rPr>
        <w:t>4</w:t>
      </w:r>
      <w:r>
        <w:rPr>
          <w:rFonts w:ascii="仿宋_GB2312" w:eastAsia="仿宋_GB2312"/>
          <w:sz w:val="32"/>
          <w:szCs w:val="40"/>
        </w:rPr>
        <w:fldChar w:fldCharType="end"/>
      </w:r>
    </w:p>
    <w:p>
      <w:pPr>
        <w:pStyle w:val="10"/>
        <w:tabs>
          <w:tab w:val="right" w:leader="dot" w:pos="8296"/>
        </w:tabs>
        <w:rPr>
          <w:rFonts w:ascii="仿宋_GB2312" w:eastAsia="仿宋_GB2312" w:hAnsiTheme="minorHAnsi" w:cstheme="minorBidi"/>
          <w:sz w:val="32"/>
          <w:szCs w:val="36"/>
        </w:rPr>
      </w:pPr>
      <w:r>
        <w:rPr>
          <w:rFonts w:ascii="仿宋_GB2312" w:hAnsi="黑体" w:eastAsia="仿宋_GB2312"/>
          <w:sz w:val="32"/>
          <w:szCs w:val="40"/>
        </w:rPr>
        <w:t>二、当年预算执行情况</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_Toc103362016 \h </w:instrText>
      </w:r>
      <w:r>
        <w:rPr>
          <w:rFonts w:ascii="仿宋_GB2312" w:eastAsia="仿宋_GB2312"/>
          <w:sz w:val="32"/>
          <w:szCs w:val="40"/>
        </w:rPr>
        <w:fldChar w:fldCharType="separate"/>
      </w:r>
      <w:r>
        <w:rPr>
          <w:rFonts w:ascii="仿宋_GB2312" w:eastAsia="仿宋_GB2312"/>
          <w:sz w:val="32"/>
          <w:szCs w:val="40"/>
        </w:rPr>
        <w:t>6</w:t>
      </w:r>
      <w:r>
        <w:rPr>
          <w:rFonts w:ascii="仿宋_GB2312" w:eastAsia="仿宋_GB2312"/>
          <w:sz w:val="32"/>
          <w:szCs w:val="40"/>
        </w:rPr>
        <w:fldChar w:fldCharType="end"/>
      </w:r>
    </w:p>
    <w:p>
      <w:pPr>
        <w:pStyle w:val="10"/>
        <w:tabs>
          <w:tab w:val="right" w:leader="dot" w:pos="8296"/>
        </w:tabs>
        <w:rPr>
          <w:rFonts w:ascii="仿宋_GB2312" w:eastAsia="仿宋_GB2312" w:hAnsiTheme="minorHAnsi" w:cstheme="minorBidi"/>
          <w:sz w:val="32"/>
          <w:szCs w:val="36"/>
        </w:rPr>
      </w:pPr>
      <w:r>
        <w:rPr>
          <w:rFonts w:ascii="仿宋_GB2312" w:hAnsi="黑体" w:eastAsia="仿宋_GB2312"/>
          <w:sz w:val="32"/>
          <w:szCs w:val="40"/>
        </w:rPr>
        <w:t>三、整体绩效目标实现情况</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_Toc103362017 \h </w:instrText>
      </w:r>
      <w:r>
        <w:rPr>
          <w:rFonts w:ascii="仿宋_GB2312" w:eastAsia="仿宋_GB2312"/>
          <w:sz w:val="32"/>
          <w:szCs w:val="40"/>
        </w:rPr>
        <w:fldChar w:fldCharType="separate"/>
      </w:r>
      <w:r>
        <w:rPr>
          <w:rFonts w:ascii="仿宋_GB2312" w:eastAsia="仿宋_GB2312"/>
          <w:sz w:val="32"/>
          <w:szCs w:val="40"/>
        </w:rPr>
        <w:t>7</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（一）产出完成情况分析</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_Toc103362018 \h </w:instrText>
      </w:r>
      <w:r>
        <w:rPr>
          <w:rFonts w:ascii="仿宋_GB2312" w:eastAsia="仿宋_GB2312"/>
          <w:sz w:val="32"/>
          <w:szCs w:val="40"/>
        </w:rPr>
        <w:fldChar w:fldCharType="separate"/>
      </w:r>
      <w:r>
        <w:rPr>
          <w:rFonts w:ascii="仿宋_GB2312" w:eastAsia="仿宋_GB2312"/>
          <w:sz w:val="32"/>
          <w:szCs w:val="40"/>
        </w:rPr>
        <w:t>7</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（二）效果实现情况分析</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_Toc103362019 \h </w:instrText>
      </w:r>
      <w:r>
        <w:rPr>
          <w:rFonts w:ascii="仿宋_GB2312" w:eastAsia="仿宋_GB2312"/>
          <w:sz w:val="32"/>
          <w:szCs w:val="40"/>
        </w:rPr>
        <w:fldChar w:fldCharType="separate"/>
      </w:r>
      <w:r>
        <w:rPr>
          <w:rFonts w:ascii="仿宋_GB2312" w:eastAsia="仿宋_GB2312"/>
          <w:sz w:val="32"/>
          <w:szCs w:val="40"/>
        </w:rPr>
        <w:t>12</w:t>
      </w:r>
      <w:r>
        <w:rPr>
          <w:rFonts w:ascii="仿宋_GB2312" w:eastAsia="仿宋_GB2312"/>
          <w:sz w:val="32"/>
          <w:szCs w:val="40"/>
        </w:rPr>
        <w:fldChar w:fldCharType="end"/>
      </w:r>
    </w:p>
    <w:p>
      <w:pPr>
        <w:pStyle w:val="10"/>
        <w:tabs>
          <w:tab w:val="right" w:leader="dot" w:pos="8296"/>
        </w:tabs>
        <w:rPr>
          <w:rFonts w:ascii="仿宋_GB2312" w:eastAsia="仿宋_GB2312" w:hAnsiTheme="minorHAnsi" w:cstheme="minorBidi"/>
          <w:sz w:val="32"/>
          <w:szCs w:val="36"/>
        </w:rPr>
      </w:pPr>
      <w:r>
        <w:rPr>
          <w:rFonts w:ascii="仿宋_GB2312" w:hAnsi="黑体" w:eastAsia="仿宋_GB2312"/>
          <w:sz w:val="32"/>
          <w:szCs w:val="40"/>
        </w:rPr>
        <w:t>四、预算管理情况分析</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_Toc103362020 \h </w:instrText>
      </w:r>
      <w:r>
        <w:rPr>
          <w:rFonts w:ascii="仿宋_GB2312" w:eastAsia="仿宋_GB2312"/>
          <w:sz w:val="32"/>
          <w:szCs w:val="40"/>
        </w:rPr>
        <w:fldChar w:fldCharType="separate"/>
      </w:r>
      <w:r>
        <w:rPr>
          <w:rFonts w:ascii="仿宋_GB2312" w:eastAsia="仿宋_GB2312"/>
          <w:sz w:val="32"/>
          <w:szCs w:val="40"/>
        </w:rPr>
        <w:t>16</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（一）财务管理</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_Toc103362021 \h </w:instrText>
      </w:r>
      <w:r>
        <w:rPr>
          <w:rFonts w:ascii="仿宋_GB2312" w:eastAsia="仿宋_GB2312"/>
          <w:sz w:val="32"/>
          <w:szCs w:val="40"/>
        </w:rPr>
        <w:fldChar w:fldCharType="separate"/>
      </w:r>
      <w:r>
        <w:rPr>
          <w:rFonts w:ascii="仿宋_GB2312" w:eastAsia="仿宋_GB2312"/>
          <w:sz w:val="32"/>
          <w:szCs w:val="40"/>
        </w:rPr>
        <w:t>16</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（二）资产管理</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_Toc103362022 \h </w:instrText>
      </w:r>
      <w:r>
        <w:rPr>
          <w:rFonts w:ascii="仿宋_GB2312" w:eastAsia="仿宋_GB2312"/>
          <w:sz w:val="32"/>
          <w:szCs w:val="40"/>
        </w:rPr>
        <w:fldChar w:fldCharType="separate"/>
      </w:r>
      <w:r>
        <w:rPr>
          <w:rFonts w:ascii="仿宋_GB2312" w:eastAsia="仿宋_GB2312"/>
          <w:sz w:val="32"/>
          <w:szCs w:val="40"/>
        </w:rPr>
        <w:t>20</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（三）绩效管理</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_Toc103362023 \h </w:instrText>
      </w:r>
      <w:r>
        <w:rPr>
          <w:rFonts w:ascii="仿宋_GB2312" w:eastAsia="仿宋_GB2312"/>
          <w:sz w:val="32"/>
          <w:szCs w:val="40"/>
        </w:rPr>
        <w:fldChar w:fldCharType="separate"/>
      </w:r>
      <w:r>
        <w:rPr>
          <w:rFonts w:ascii="仿宋_GB2312" w:eastAsia="仿宋_GB2312"/>
          <w:sz w:val="32"/>
          <w:szCs w:val="40"/>
        </w:rPr>
        <w:t>21</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（四）结转结余率</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_Toc103362024 \h </w:instrText>
      </w:r>
      <w:r>
        <w:rPr>
          <w:rFonts w:ascii="仿宋_GB2312" w:eastAsia="仿宋_GB2312"/>
          <w:sz w:val="32"/>
          <w:szCs w:val="40"/>
        </w:rPr>
        <w:fldChar w:fldCharType="separate"/>
      </w:r>
      <w:r>
        <w:rPr>
          <w:rFonts w:ascii="仿宋_GB2312" w:eastAsia="仿宋_GB2312"/>
          <w:sz w:val="32"/>
          <w:szCs w:val="40"/>
        </w:rPr>
        <w:t>21</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（五）部门预决算差异率</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_Toc103362025 \h </w:instrText>
      </w:r>
      <w:r>
        <w:rPr>
          <w:rFonts w:ascii="仿宋_GB2312" w:eastAsia="仿宋_GB2312"/>
          <w:sz w:val="32"/>
          <w:szCs w:val="40"/>
        </w:rPr>
        <w:fldChar w:fldCharType="separate"/>
      </w:r>
      <w:r>
        <w:rPr>
          <w:rFonts w:ascii="仿宋_GB2312" w:eastAsia="仿宋_GB2312"/>
          <w:sz w:val="32"/>
          <w:szCs w:val="40"/>
        </w:rPr>
        <w:t>22</w:t>
      </w:r>
      <w:r>
        <w:rPr>
          <w:rFonts w:ascii="仿宋_GB2312" w:eastAsia="仿宋_GB2312"/>
          <w:sz w:val="32"/>
          <w:szCs w:val="40"/>
        </w:rPr>
        <w:fldChar w:fldCharType="end"/>
      </w:r>
    </w:p>
    <w:p>
      <w:pPr>
        <w:pStyle w:val="10"/>
        <w:tabs>
          <w:tab w:val="right" w:leader="dot" w:pos="8296"/>
        </w:tabs>
        <w:rPr>
          <w:rFonts w:ascii="仿宋_GB2312" w:eastAsia="仿宋_GB2312" w:hAnsiTheme="minorHAnsi" w:cstheme="minorBidi"/>
          <w:sz w:val="32"/>
          <w:szCs w:val="36"/>
        </w:rPr>
      </w:pPr>
      <w:r>
        <w:rPr>
          <w:rFonts w:ascii="仿宋_GB2312" w:hAnsi="黑体" w:eastAsia="仿宋_GB2312"/>
          <w:sz w:val="32"/>
          <w:szCs w:val="40"/>
        </w:rPr>
        <w:t>五、总体评价结论</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_Toc103362026 \h </w:instrText>
      </w:r>
      <w:r>
        <w:rPr>
          <w:rFonts w:ascii="仿宋_GB2312" w:eastAsia="仿宋_GB2312"/>
          <w:sz w:val="32"/>
          <w:szCs w:val="40"/>
        </w:rPr>
        <w:fldChar w:fldCharType="separate"/>
      </w:r>
      <w:r>
        <w:rPr>
          <w:rFonts w:ascii="仿宋_GB2312" w:eastAsia="仿宋_GB2312"/>
          <w:sz w:val="32"/>
          <w:szCs w:val="40"/>
        </w:rPr>
        <w:t>22</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（一）评价得分情况</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_Toc103362027 \h </w:instrText>
      </w:r>
      <w:r>
        <w:rPr>
          <w:rFonts w:ascii="仿宋_GB2312" w:eastAsia="仿宋_GB2312"/>
          <w:sz w:val="32"/>
          <w:szCs w:val="40"/>
        </w:rPr>
        <w:fldChar w:fldCharType="separate"/>
      </w:r>
      <w:r>
        <w:rPr>
          <w:rFonts w:ascii="仿宋_GB2312" w:eastAsia="仿宋_GB2312"/>
          <w:sz w:val="32"/>
          <w:szCs w:val="40"/>
        </w:rPr>
        <w:t>22</w:t>
      </w:r>
      <w:r>
        <w:rPr>
          <w:rFonts w:ascii="仿宋_GB2312" w:eastAsia="仿宋_GB2312"/>
          <w:sz w:val="32"/>
          <w:szCs w:val="40"/>
        </w:rPr>
        <w:fldChar w:fldCharType="end"/>
      </w:r>
    </w:p>
    <w:p>
      <w:pPr>
        <w:pStyle w:val="12"/>
        <w:tabs>
          <w:tab w:val="right" w:leader="dot" w:pos="8296"/>
        </w:tabs>
        <w:rPr>
          <w:rFonts w:ascii="仿宋_GB2312" w:eastAsia="仿宋_GB2312" w:hAnsiTheme="minorHAnsi" w:cstheme="minorBidi"/>
          <w:sz w:val="32"/>
          <w:szCs w:val="36"/>
        </w:rPr>
      </w:pPr>
      <w:r>
        <w:rPr>
          <w:rFonts w:ascii="仿宋_GB2312" w:hAnsi="仿宋" w:eastAsia="仿宋_GB2312"/>
          <w:sz w:val="32"/>
          <w:szCs w:val="40"/>
        </w:rPr>
        <w:t>（二）存在的问题及原因分析</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_Toc103362028 \h </w:instrText>
      </w:r>
      <w:r>
        <w:rPr>
          <w:rFonts w:ascii="仿宋_GB2312" w:eastAsia="仿宋_GB2312"/>
          <w:sz w:val="32"/>
          <w:szCs w:val="40"/>
        </w:rPr>
        <w:fldChar w:fldCharType="separate"/>
      </w:r>
      <w:r>
        <w:rPr>
          <w:rFonts w:ascii="仿宋_GB2312" w:eastAsia="仿宋_GB2312"/>
          <w:sz w:val="32"/>
          <w:szCs w:val="40"/>
        </w:rPr>
        <w:t>22</w:t>
      </w:r>
      <w:r>
        <w:rPr>
          <w:rFonts w:ascii="仿宋_GB2312" w:eastAsia="仿宋_GB2312"/>
          <w:sz w:val="32"/>
          <w:szCs w:val="40"/>
        </w:rPr>
        <w:fldChar w:fldCharType="end"/>
      </w:r>
    </w:p>
    <w:p>
      <w:pPr>
        <w:pStyle w:val="10"/>
        <w:tabs>
          <w:tab w:val="right" w:leader="dot" w:pos="8296"/>
        </w:tabs>
        <w:rPr>
          <w:rFonts w:asciiTheme="minorHAnsi" w:hAnsiTheme="minorHAnsi" w:eastAsiaTheme="minorEastAsia" w:cstheme="minorBidi"/>
          <w:szCs w:val="22"/>
        </w:rPr>
      </w:pPr>
      <w:r>
        <w:rPr>
          <w:rFonts w:ascii="仿宋_GB2312" w:hAnsi="黑体" w:eastAsia="仿宋_GB2312"/>
          <w:sz w:val="32"/>
          <w:szCs w:val="40"/>
        </w:rPr>
        <w:t>六、措施建议</w:t>
      </w:r>
      <w:r>
        <w:rPr>
          <w:rFonts w:ascii="仿宋_GB2312" w:eastAsia="仿宋_GB2312"/>
          <w:sz w:val="32"/>
          <w:szCs w:val="40"/>
        </w:rPr>
        <w:tab/>
      </w:r>
      <w:r>
        <w:rPr>
          <w:rFonts w:ascii="仿宋_GB2312" w:eastAsia="仿宋_GB2312"/>
          <w:sz w:val="32"/>
          <w:szCs w:val="40"/>
        </w:rPr>
        <w:fldChar w:fldCharType="begin"/>
      </w:r>
      <w:r>
        <w:rPr>
          <w:rFonts w:ascii="仿宋_GB2312" w:eastAsia="仿宋_GB2312"/>
          <w:sz w:val="32"/>
          <w:szCs w:val="40"/>
        </w:rPr>
        <w:instrText xml:space="preserve"> PAGEREF _Toc103362029 \h </w:instrText>
      </w:r>
      <w:r>
        <w:rPr>
          <w:rFonts w:ascii="仿宋_GB2312" w:eastAsia="仿宋_GB2312"/>
          <w:sz w:val="32"/>
          <w:szCs w:val="40"/>
        </w:rPr>
        <w:fldChar w:fldCharType="separate"/>
      </w:r>
      <w:r>
        <w:rPr>
          <w:rFonts w:ascii="仿宋_GB2312" w:eastAsia="仿宋_GB2312"/>
          <w:sz w:val="32"/>
          <w:szCs w:val="40"/>
        </w:rPr>
        <w:t>23</w:t>
      </w:r>
      <w:r>
        <w:rPr>
          <w:rFonts w:ascii="仿宋_GB2312" w:eastAsia="仿宋_GB2312"/>
          <w:sz w:val="32"/>
          <w:szCs w:val="40"/>
        </w:rPr>
        <w:fldChar w:fldCharType="end"/>
      </w:r>
    </w:p>
    <w:p>
      <w:pPr>
        <w:adjustRightInd w:val="0"/>
        <w:snapToGrid w:val="0"/>
        <w:jc w:val="center"/>
        <w:rPr>
          <w:rFonts w:ascii="华文中宋" w:hAnsi="华文中宋" w:eastAsia="华文中宋"/>
          <w:sz w:val="36"/>
          <w:szCs w:val="36"/>
        </w:rPr>
      </w:pPr>
      <w:r>
        <w:rPr>
          <w:rFonts w:hint="eastAsia" w:ascii="仿宋_GB2312" w:hAnsi="黑体" w:eastAsia="仿宋_GB2312"/>
          <w:b/>
          <w:sz w:val="32"/>
          <w:szCs w:val="32"/>
        </w:rPr>
        <w:fldChar w:fldCharType="end"/>
      </w:r>
    </w:p>
    <w:p>
      <w:pPr>
        <w:snapToGrid w:val="0"/>
        <w:jc w:val="center"/>
        <w:rPr>
          <w:rFonts w:ascii="方正小标宋简体" w:hAnsi="华文中宋" w:eastAsia="方正小标宋简体"/>
          <w:sz w:val="36"/>
          <w:szCs w:val="36"/>
        </w:rPr>
        <w:sectPr>
          <w:footerReference r:id="rId4" w:type="default"/>
          <w:pgSz w:w="11906" w:h="16838"/>
          <w:pgMar w:top="1440" w:right="1800" w:bottom="1440" w:left="1800" w:header="851" w:footer="992" w:gutter="0"/>
          <w:pgNumType w:fmt="upperRoman" w:start="1"/>
          <w:cols w:space="425" w:num="1"/>
          <w:docGrid w:type="lines" w:linePitch="312" w:charSpace="0"/>
        </w:sectPr>
      </w:pPr>
    </w:p>
    <w:p>
      <w:pPr>
        <w:adjustRightInd w:val="0"/>
        <w:snapToGrid w:val="0"/>
        <w:jc w:val="center"/>
        <w:rPr>
          <w:rFonts w:ascii="华文中宋" w:hAnsi="华文中宋" w:eastAsia="华文中宋"/>
          <w:sz w:val="44"/>
          <w:szCs w:val="44"/>
        </w:rPr>
      </w:pPr>
      <w:r>
        <w:rPr>
          <w:rFonts w:hint="eastAsia" w:ascii="华文中宋" w:hAnsi="华文中宋" w:eastAsia="华文中宋"/>
          <w:sz w:val="44"/>
          <w:szCs w:val="44"/>
        </w:rPr>
        <w:t>北京市科学技术协会</w:t>
      </w:r>
    </w:p>
    <w:p>
      <w:pPr>
        <w:adjustRightInd w:val="0"/>
        <w:snapToGrid w:val="0"/>
        <w:jc w:val="center"/>
        <w:rPr>
          <w:rFonts w:ascii="华文中宋" w:hAnsi="华文中宋" w:eastAsia="华文中宋"/>
          <w:sz w:val="36"/>
          <w:szCs w:val="36"/>
        </w:rPr>
      </w:pPr>
      <w:r>
        <w:rPr>
          <w:rFonts w:hint="eastAsia" w:ascii="华文中宋" w:hAnsi="华文中宋" w:eastAsia="华文中宋"/>
          <w:sz w:val="44"/>
          <w:szCs w:val="44"/>
        </w:rPr>
        <w:t>2021年度部门整体绩效评价报告</w:t>
      </w:r>
    </w:p>
    <w:p>
      <w:pPr>
        <w:spacing w:line="560" w:lineRule="exact"/>
        <w:jc w:val="center"/>
        <w:rPr>
          <w:rFonts w:ascii="方正小标宋简体" w:eastAsia="方正小标宋简体"/>
          <w:sz w:val="36"/>
          <w:szCs w:val="36"/>
        </w:rPr>
      </w:pPr>
    </w:p>
    <w:p>
      <w:pPr>
        <w:adjustRightInd w:val="0"/>
        <w:snapToGrid w:val="0"/>
        <w:spacing w:line="360" w:lineRule="auto"/>
        <w:ind w:firstLine="640" w:firstLineChars="200"/>
        <w:outlineLvl w:val="0"/>
        <w:rPr>
          <w:rFonts w:ascii="黑体" w:hAnsi="黑体" w:eastAsia="黑体"/>
          <w:sz w:val="32"/>
          <w:szCs w:val="32"/>
        </w:rPr>
      </w:pPr>
      <w:bookmarkStart w:id="0" w:name="_Toc103362013"/>
      <w:r>
        <w:rPr>
          <w:rFonts w:hint="eastAsia" w:ascii="黑体" w:hAnsi="黑体" w:eastAsia="黑体"/>
          <w:sz w:val="32"/>
          <w:szCs w:val="32"/>
        </w:rPr>
        <w:t>一、部门概况</w:t>
      </w:r>
      <w:bookmarkEnd w:id="0"/>
    </w:p>
    <w:p>
      <w:pPr>
        <w:adjustRightInd w:val="0"/>
        <w:snapToGrid w:val="0"/>
        <w:spacing w:line="360" w:lineRule="auto"/>
        <w:ind w:firstLine="640" w:firstLineChars="200"/>
        <w:outlineLvl w:val="1"/>
        <w:rPr>
          <w:rFonts w:ascii="楷体_GB2312" w:hAnsi="仿宋" w:eastAsia="楷体_GB2312"/>
          <w:sz w:val="32"/>
          <w:szCs w:val="32"/>
        </w:rPr>
      </w:pPr>
      <w:bookmarkStart w:id="1" w:name="_Toc103362014"/>
      <w:r>
        <w:rPr>
          <w:rFonts w:hint="eastAsia" w:ascii="楷体_GB2312" w:hAnsi="仿宋" w:eastAsia="楷体_GB2312"/>
          <w:sz w:val="32"/>
          <w:szCs w:val="32"/>
        </w:rPr>
        <w:t>（一）机构设置及职责工作任务情况</w:t>
      </w:r>
      <w:bookmarkEnd w:id="1"/>
    </w:p>
    <w:p>
      <w:pPr>
        <w:adjustRightInd w:val="0"/>
        <w:snapToGrid w:val="0"/>
        <w:spacing w:line="360" w:lineRule="auto"/>
        <w:ind w:firstLine="640" w:firstLineChars="200"/>
        <w:outlineLvl w:val="2"/>
        <w:rPr>
          <w:rFonts w:ascii="仿宋_GB2312" w:eastAsia="仿宋_GB2312"/>
          <w:sz w:val="32"/>
          <w:szCs w:val="32"/>
        </w:rPr>
      </w:pPr>
      <w:r>
        <w:rPr>
          <w:rFonts w:hint="eastAsia" w:ascii="仿宋_GB2312" w:eastAsia="仿宋_GB2312"/>
          <w:sz w:val="32"/>
          <w:szCs w:val="32"/>
        </w:rPr>
        <w:t>1.机构设置</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根据中共北京市委办公厅关于印发《北京市科学技术协会机关主要职责、内设机构和人员编制方案》的通知（京办发〔2002〕20号）、《中共北京市委机构编制委员会办公室关于同意明确市科协机关纪委机构设置的函》（京编办行〔2018〕163号），北京市科学技术协会（以下简称“市科协”）机关内设办公室、计划财务部、人事部、调研宣传部、学会部、科普部、机关纪委等7个部门和机关党委。</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eastAsia="仿宋_GB2312"/>
          <w:color w:val="000000"/>
          <w:sz w:val="32"/>
          <w:szCs w:val="32"/>
        </w:rPr>
        <w:t>2</w:t>
      </w:r>
      <w:r>
        <w:rPr>
          <w:rFonts w:ascii="仿宋_GB2312" w:eastAsia="仿宋_GB2312"/>
          <w:color w:val="000000"/>
          <w:sz w:val="32"/>
          <w:szCs w:val="32"/>
        </w:rPr>
        <w:t>021</w:t>
      </w:r>
      <w:r>
        <w:rPr>
          <w:rFonts w:hint="eastAsia" w:ascii="仿宋_GB2312" w:eastAsia="仿宋_GB2312"/>
          <w:color w:val="000000"/>
          <w:sz w:val="32"/>
          <w:szCs w:val="32"/>
        </w:rPr>
        <w:t>年6月市科协所属</w:t>
      </w:r>
      <w:r>
        <w:rPr>
          <w:rFonts w:hint="eastAsia" w:ascii="仿宋_GB2312" w:hAnsi="仿宋" w:eastAsia="仿宋_GB2312"/>
          <w:sz w:val="32"/>
          <w:szCs w:val="32"/>
        </w:rPr>
        <w:t>事业单位改革后，根据《中共北京市委机构编制委员会关于市科协机关所属事业单位改革有关事项的批复》（市编委〔2021〕93号），</w:t>
      </w:r>
      <w:r>
        <w:rPr>
          <w:rFonts w:hint="eastAsia" w:ascii="仿宋_GB2312" w:eastAsia="仿宋_GB2312"/>
          <w:color w:val="000000"/>
          <w:sz w:val="32"/>
          <w:szCs w:val="32"/>
        </w:rPr>
        <w:t>市科协所属二级预算单位由年初的10家</w:t>
      </w:r>
      <w:r>
        <w:rPr>
          <w:rFonts w:hint="eastAsia" w:ascii="仿宋_GB2312" w:eastAsia="仿宋_GB2312"/>
          <w:sz w:val="32"/>
          <w:szCs w:val="32"/>
        </w:rPr>
        <w:t>（其中公益一类事业单位7个，公益二类事业单位3个）</w:t>
      </w:r>
      <w:r>
        <w:rPr>
          <w:rFonts w:hint="eastAsia" w:ascii="仿宋_GB2312" w:eastAsia="仿宋_GB2312"/>
          <w:color w:val="000000"/>
          <w:sz w:val="32"/>
          <w:szCs w:val="32"/>
        </w:rPr>
        <w:t>调整为7家，</w:t>
      </w:r>
      <w:r>
        <w:rPr>
          <w:rFonts w:hint="eastAsia" w:ascii="仿宋_GB2312" w:eastAsia="仿宋_GB2312"/>
          <w:sz w:val="32"/>
          <w:szCs w:val="32"/>
        </w:rPr>
        <w:t>分别是：</w:t>
      </w:r>
      <w:r>
        <w:rPr>
          <w:rFonts w:hint="eastAsia" w:ascii="仿宋_GB2312" w:hAnsi="仿宋" w:eastAsia="仿宋_GB2312"/>
          <w:sz w:val="32"/>
          <w:szCs w:val="32"/>
        </w:rPr>
        <w:t>北京市科学技术协会综合服务中心、北京科技国际交流中心、北京市科技教育中心(北京市科学技术协会党校)、北京科普发展与研究中心、北京科技社团服务中心（北京老科学技术工作者总会秘书处、北京反邪教协会秘书处）、北京市科学技术协会创新服务中心、北京科学中心（北京青少年科技中心）。</w:t>
      </w:r>
    </w:p>
    <w:p>
      <w:pPr>
        <w:adjustRightInd w:val="0"/>
        <w:snapToGrid w:val="0"/>
        <w:spacing w:line="360" w:lineRule="auto"/>
        <w:ind w:firstLine="640" w:firstLineChars="200"/>
        <w:outlineLvl w:val="2"/>
        <w:rPr>
          <w:rFonts w:ascii="仿宋_GB2312" w:eastAsia="仿宋_GB2312"/>
          <w:sz w:val="32"/>
          <w:szCs w:val="32"/>
        </w:rPr>
      </w:pPr>
      <w:r>
        <w:rPr>
          <w:rFonts w:hint="eastAsia" w:ascii="仿宋_GB2312" w:eastAsia="仿宋_GB2312"/>
          <w:sz w:val="32"/>
          <w:szCs w:val="32"/>
        </w:rPr>
        <w:t>2.部门职责</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市科协是北京市科学技术工作者的群众组织，是中共北京市委领导下的人民团体，是党和政府联系科学技术工作者的桥梁和纽带，是推动科学技术事业发展的重要力量。主要承担以下部门职责：</w:t>
      </w:r>
    </w:p>
    <w:p>
      <w:pPr>
        <w:adjustRightInd w:val="0"/>
        <w:snapToGrid w:val="0"/>
        <w:spacing w:line="360" w:lineRule="auto"/>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为科技工作者服务。自觉地把加强党和政府同科技工作者的联系作为基本职责，把激发科技工作者的创新热情和创造活力作为根本任务，积极搭建平台，助力科技工作者成长成才。多渠道、多角度宣传和弘扬科技工作者的先进事迹和精神风貌，营造科技人才成长的良好社会氛围。</w:t>
      </w:r>
    </w:p>
    <w:p>
      <w:pPr>
        <w:adjustRightInd w:val="0"/>
        <w:snapToGrid w:val="0"/>
        <w:spacing w:line="360" w:lineRule="auto"/>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为创新驱动发展服务。围绕全国科技创新中心建设，充分发挥科协智力和人才优势，团结和引领首都广大科技工作者为实施创新驱动发展战略服务。坚持以企业需求为导向，引导创新要素向企业聚集，推动企业自主创新。</w:t>
      </w:r>
    </w:p>
    <w:p>
      <w:pPr>
        <w:adjustRightInd w:val="0"/>
        <w:snapToGrid w:val="0"/>
        <w:spacing w:line="360" w:lineRule="auto"/>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为提高全民科学素质服务。切实履行北京市全民科学素质纲要实施工作办公室职责，建立公民科学素质共建机制。成立北京科普资源联盟、北京科学教育馆协会，积极构建科普工作社会化格局，形成联动效应、质量效应、品牌效应。按照“世界眼光、时代特征、北京特色、创新发展”的建设理念，坚持“展教结合、以教为主”功能定位，构建以北京科学中心为核心、以</w:t>
      </w:r>
      <w:r>
        <w:rPr>
          <w:rFonts w:ascii="仿宋_GB2312" w:hAnsi="仿宋" w:eastAsia="仿宋_GB2312"/>
          <w:color w:val="auto"/>
          <w:sz w:val="32"/>
          <w:szCs w:val="32"/>
        </w:rPr>
        <w:t>16</w:t>
      </w:r>
      <w:r>
        <w:rPr>
          <w:rFonts w:hint="eastAsia" w:ascii="仿宋_GB2312" w:hAnsi="仿宋" w:eastAsia="仿宋_GB2312"/>
          <w:color w:val="auto"/>
          <w:sz w:val="32"/>
          <w:szCs w:val="32"/>
        </w:rPr>
        <w:t>个区域分中心和若干专业特色科普场馆为依托的北京科学中心发展体系。不断加强科普信息化建设，着力构建由蝌蚪五线谱网站、手机终端、社区数字科普视窗、楼宇电视等载体组成的面向公众的数字化科普网络体系。</w:t>
      </w:r>
    </w:p>
    <w:p>
      <w:pPr>
        <w:adjustRightInd w:val="0"/>
        <w:snapToGrid w:val="0"/>
        <w:spacing w:line="360" w:lineRule="auto"/>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为党和政府科学决策服务。着力构建以国家级科技思想库建设为重点，以调研课题、决策咨询沙龙、科技工作者建议、科技工作者状况调查、提案议案等为主要形式的特色决策咨询工作格局，服务党和政府科学决策。</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color w:val="auto"/>
          <w:sz w:val="32"/>
          <w:szCs w:val="32"/>
        </w:rPr>
        <w:t>加强科协团体自身建设。围绕保持和增强科协组织的“政治性、先进性、群众性”，扎实推进科协系统深化改革。推进科技社团承接政府转移职能，支持科技社团利用专业优势开展社会化服务。加强基层组织建设，推动科协组织向企业、高校、农村延伸。深入学习贯彻习近平新时代中国特色社会主义思想和党的十九大精神，落实新时代党的建设总要求，以党的政治建设为统领，以首善标准推进科协党的政治建设、思想建设、组织建设、作风建设、纪律建设，制度建设贯穿其中，把全面从严治党要求落细落实，不断提升党建工作质量，切实增强科协各级党组织创造力、凝聚力和战斗力，不断增强“四个意识”，坚定“四个自信”，做到“两个维护”，为推进科协系统深化改革提供坚强保证。</w:t>
      </w:r>
    </w:p>
    <w:p>
      <w:pPr>
        <w:adjustRightInd w:val="0"/>
        <w:snapToGrid w:val="0"/>
        <w:spacing w:line="360" w:lineRule="auto"/>
        <w:ind w:firstLine="640" w:firstLineChars="200"/>
        <w:outlineLvl w:val="2"/>
        <w:rPr>
          <w:rFonts w:ascii="仿宋_GB2312" w:eastAsia="仿宋_GB2312"/>
          <w:sz w:val="32"/>
          <w:szCs w:val="32"/>
        </w:rPr>
      </w:pPr>
      <w:r>
        <w:rPr>
          <w:rFonts w:hint="eastAsia" w:ascii="仿宋_GB2312" w:eastAsia="仿宋_GB2312"/>
          <w:sz w:val="32"/>
          <w:szCs w:val="32"/>
        </w:rPr>
        <w:t>3.工作任务</w:t>
      </w:r>
    </w:p>
    <w:p>
      <w:pPr>
        <w:adjustRightInd w:val="0"/>
        <w:snapToGrid w:val="0"/>
        <w:spacing w:line="360" w:lineRule="auto"/>
        <w:ind w:firstLine="640" w:firstLineChars="200"/>
        <w:rPr>
          <w:rFonts w:ascii="仿宋_GB2312" w:eastAsia="仿宋_GB2312"/>
          <w:sz w:val="32"/>
          <w:szCs w:val="32"/>
        </w:rPr>
      </w:pPr>
      <w:r>
        <w:rPr>
          <w:rFonts w:hint="eastAsia" w:ascii="仿宋_GB2312" w:hAnsi="仿宋" w:eastAsia="仿宋_GB2312"/>
          <w:sz w:val="32"/>
          <w:szCs w:val="32"/>
        </w:rPr>
        <w:t>市科协以前年度制定了《北京市科协事业发展行动计划（2019-2021年）》，2</w:t>
      </w:r>
      <w:r>
        <w:rPr>
          <w:rFonts w:ascii="仿宋_GB2312" w:hAnsi="仿宋" w:eastAsia="仿宋_GB2312"/>
          <w:sz w:val="32"/>
          <w:szCs w:val="32"/>
        </w:rPr>
        <w:t>021</w:t>
      </w:r>
      <w:r>
        <w:rPr>
          <w:rFonts w:hint="eastAsia" w:ascii="仿宋_GB2312" w:hAnsi="仿宋" w:eastAsia="仿宋_GB2312"/>
          <w:sz w:val="32"/>
          <w:szCs w:val="32"/>
        </w:rPr>
        <w:t>年根据《北京市国民经济和社会发展第十四个五年规划和二</w:t>
      </w:r>
      <w:r>
        <w:rPr>
          <w:rFonts w:hint="eastAsia" w:ascii="微软雅黑" w:hAnsi="微软雅黑" w:eastAsia="微软雅黑" w:cs="微软雅黑"/>
          <w:sz w:val="32"/>
          <w:szCs w:val="32"/>
        </w:rPr>
        <w:t>〇</w:t>
      </w:r>
      <w:r>
        <w:rPr>
          <w:rFonts w:hint="eastAsia" w:ascii="仿宋_GB2312" w:hAnsi="仿宋_GB2312" w:eastAsia="仿宋_GB2312" w:cs="仿宋_GB2312"/>
          <w:sz w:val="32"/>
          <w:szCs w:val="32"/>
        </w:rPr>
        <w:t>三五年远景目标纲要》《面向建设世界科技强国的中国科协规划纲要》</w:t>
      </w:r>
      <w:r>
        <w:rPr>
          <w:rFonts w:hint="eastAsia" w:ascii="仿宋_GB2312" w:hAnsi="仿宋" w:eastAsia="仿宋_GB2312"/>
          <w:sz w:val="32"/>
          <w:szCs w:val="32"/>
        </w:rPr>
        <w:t>制定了《北京市科协事业发展“十四五”规划》，进一步明确了第十四个五年规划的“主要目标、重点任务”等内容，旨在开启新发展阶段市科协事业发展新局面。2021年市科协</w:t>
      </w:r>
      <w:r>
        <w:rPr>
          <w:rFonts w:hint="eastAsia" w:ascii="仿宋_GB2312" w:eastAsia="仿宋_GB2312"/>
          <w:sz w:val="32"/>
          <w:szCs w:val="32"/>
        </w:rPr>
        <w:t>重点工作任务包括以下6个方面：</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（1）全面贯彻落实党的路线方针政策，通过强化思想政治引领，壮大中国科学家精神传播阵地，支持首都科技工作者参与国家治理；</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（2）通过构建服务创新体系，鼓励、引导学会、高等院校、科研院所与企业、产业共生共长，打造高水平学术交流平台，服务国际科技创新中心建设与“两区”“三平台”建设；</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（3）贯彻落实科学普及与科技创新“两翼齐飞”要求，打造“首都科普”名片，促进首都科普工作高质量发展，稳步提升北京公民科学素质；</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（4）通过打造专业智库体系，提升服务党和政府科学决策水平；</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（5）建立覆盖青少年、青年、海外人才、老科技工作者的人才工作体系，团结凝聚优秀科技工作者发挥示范引领作用；</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6</w:t>
      </w:r>
      <w:r>
        <w:rPr>
          <w:rFonts w:hint="eastAsia" w:ascii="仿宋_GB2312" w:hAnsi="仿宋" w:eastAsia="仿宋_GB2312"/>
          <w:sz w:val="32"/>
          <w:szCs w:val="32"/>
        </w:rPr>
        <w:t>）切实发挥各级科协组织的桥梁纽带作用，完善科协组织治理结构，推进科协组织治理现代化。</w:t>
      </w:r>
    </w:p>
    <w:p>
      <w:pPr>
        <w:adjustRightInd w:val="0"/>
        <w:snapToGrid w:val="0"/>
        <w:spacing w:line="360" w:lineRule="auto"/>
        <w:ind w:firstLine="640" w:firstLineChars="200"/>
        <w:outlineLvl w:val="9"/>
        <w:rPr>
          <w:rFonts w:ascii="楷体_GB2312" w:hAnsi="仿宋" w:eastAsia="楷体_GB2312"/>
          <w:sz w:val="32"/>
          <w:szCs w:val="32"/>
        </w:rPr>
      </w:pPr>
      <w:bookmarkStart w:id="2" w:name="_Toc103362015"/>
      <w:r>
        <w:rPr>
          <w:rFonts w:hint="eastAsia" w:ascii="楷体_GB2312" w:hAnsi="仿宋" w:eastAsia="楷体_GB2312"/>
          <w:sz w:val="32"/>
          <w:szCs w:val="32"/>
        </w:rPr>
        <w:t>（二）部门整体绩效目标设立情况</w:t>
      </w:r>
      <w:bookmarkEnd w:id="2"/>
    </w:p>
    <w:p>
      <w:pPr>
        <w:adjustRightInd w:val="0"/>
        <w:snapToGrid w:val="0"/>
        <w:spacing w:line="360" w:lineRule="auto"/>
        <w:ind w:firstLine="640" w:firstLineChars="200"/>
        <w:outlineLvl w:val="2"/>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w:t>
      </w:r>
      <w:r>
        <w:rPr>
          <w:rFonts w:hint="eastAsia" w:ascii="仿宋_GB2312" w:eastAsia="仿宋_GB2312"/>
          <w:sz w:val="32"/>
          <w:szCs w:val="32"/>
        </w:rPr>
        <w:t>绩效目标设立依据</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根据绩效目标管理有关文件的规定，部门整体支出绩效目标是指部门及其所属单位按照确定的职责，利用全部部门预算资金在一定期限内预期达到的总体产出和效果。绩效目标设定的依据包括：国家相关法律、法规和规章制度，国民经济和社会发展规划；部门职能、中长期发展规划、年度工作计划或项目规划；部门中期财政规划；财政部门中期和年度预算管理要求；相关历史数据、行业标准、计划标准等；符合财政部门要求的其他依据。</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市科协按照北京市财政局当年预算编报要求设立2</w:t>
      </w:r>
      <w:r>
        <w:rPr>
          <w:rFonts w:ascii="仿宋_GB2312" w:hAnsi="仿宋" w:eastAsia="仿宋_GB2312"/>
          <w:sz w:val="32"/>
          <w:szCs w:val="32"/>
        </w:rPr>
        <w:t>021</w:t>
      </w:r>
      <w:r>
        <w:rPr>
          <w:rFonts w:hint="eastAsia" w:ascii="仿宋_GB2312" w:hAnsi="仿宋" w:eastAsia="仿宋_GB2312"/>
          <w:sz w:val="32"/>
          <w:szCs w:val="32"/>
        </w:rPr>
        <w:t>年度部门整体绩效目标时主要综合考虑了以下四点：</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一是明确部门工作职责。根据部门工作职能，明确各项具体工作职责。</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二是确定任务及总目标。结合部门中长期及年度工作计划，明确年度主要工作任务，预计年度内履职所要达到的预期产出及效果，确定部门总体目标。</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三是细化形成绩效指标。结合各内设机构及所属事业单位的具体工作职责，分解、细化形成各项工作任务的预期产出与效果，明确与绩效指标，并梳理与其相对应的重点项目。</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四是确定绩效指标数值。收集相关基准数据，确定绩效标准，结合年度预算安排情况、重点项目情况，确定绩效指标具体数值。</w:t>
      </w:r>
    </w:p>
    <w:p>
      <w:pPr>
        <w:adjustRightInd w:val="0"/>
        <w:snapToGrid w:val="0"/>
        <w:spacing w:line="360" w:lineRule="auto"/>
        <w:ind w:firstLine="640" w:firstLineChars="200"/>
        <w:outlineLvl w:val="2"/>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绩效目标与职责任务匹配情况及绩效目标合理性</w:t>
      </w:r>
    </w:p>
    <w:p>
      <w:pPr>
        <w:adjustRightInd w:val="0"/>
        <w:snapToGrid w:val="0"/>
        <w:spacing w:line="360" w:lineRule="auto"/>
        <w:ind w:firstLine="640" w:firstLineChars="200"/>
        <w:rPr>
          <w:rFonts w:ascii="仿宋_GB2312" w:eastAsia="仿宋_GB2312"/>
          <w:sz w:val="32"/>
          <w:szCs w:val="32"/>
        </w:rPr>
      </w:pPr>
      <w:r>
        <w:rPr>
          <w:rFonts w:hint="eastAsia" w:ascii="仿宋_GB2312" w:hAnsi="仿宋" w:eastAsia="仿宋_GB2312"/>
          <w:sz w:val="32"/>
          <w:szCs w:val="32"/>
        </w:rPr>
        <w:t>按照北京市财政局有关要求，市科协</w:t>
      </w:r>
      <w:r>
        <w:rPr>
          <w:rFonts w:hint="eastAsia" w:ascii="仿宋_GB2312" w:eastAsia="仿宋_GB2312"/>
          <w:sz w:val="32"/>
          <w:szCs w:val="32"/>
        </w:rPr>
        <w:t>2021年度部门整体绩效目标随同部门预算一并公开。具体见表1。</w:t>
      </w:r>
    </w:p>
    <w:p>
      <w:pPr>
        <w:adjustRightInd w:val="0"/>
        <w:snapToGrid w:val="0"/>
        <w:spacing w:line="360" w:lineRule="auto"/>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表1：2021年度部门整体支出绩效目标申报表</w:t>
      </w:r>
    </w:p>
    <w:tbl>
      <w:tblPr>
        <w:tblStyle w:val="16"/>
        <w:tblpPr w:leftFromText="180" w:rightFromText="180" w:vertAnchor="text" w:horzAnchor="margin" w:tblpXSpec="center" w:tblpY="16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7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部门（单位）绩效目标</w:t>
            </w:r>
          </w:p>
        </w:tc>
        <w:tc>
          <w:tcPr>
            <w:tcW w:w="4281" w:type="pct"/>
            <w:vAlign w:val="center"/>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1.以习近平新时代中国特色社会主义思想为指导，全面贯彻党的十九大精神，围绕首都城市功能定位和建设目标，切实履行“四服务”职能，坚持需求导向，坚持系统联动，接长手臂、广泛动员，为推进国家治理体系和治理能力现代化作出应有贡献，为北京建设全国科技创新中心提供更强有力的支撑。</w:t>
            </w:r>
            <w:r>
              <w:rPr>
                <w:rFonts w:hint="eastAsia" w:ascii="宋体" w:hAnsi="宋体" w:eastAsia="等线" w:cs="宋体"/>
                <w:color w:val="000000"/>
                <w:kern w:val="0"/>
                <w:sz w:val="18"/>
                <w:szCs w:val="18"/>
              </w:rPr>
              <w:br w:type="textWrapping"/>
            </w:r>
            <w:r>
              <w:rPr>
                <w:rFonts w:hint="eastAsia" w:ascii="宋体" w:hAnsi="宋体" w:eastAsia="等线" w:cs="宋体"/>
                <w:color w:val="000000"/>
                <w:kern w:val="0"/>
                <w:sz w:val="18"/>
                <w:szCs w:val="18"/>
              </w:rPr>
              <w:t>2.根据北京市及市科协“十三五”规划，结合部门职责及实际工作需要，确定部门重点任务及工作安排。制定北京市科协“十四五”规划、北京市科普“十四五”规划，有效指导北京市科协系统相关工作开展。</w:t>
            </w:r>
            <w:r>
              <w:rPr>
                <w:rFonts w:hint="eastAsia" w:ascii="宋体" w:hAnsi="宋体" w:eastAsia="等线" w:cs="宋体"/>
                <w:color w:val="000000"/>
                <w:kern w:val="0"/>
                <w:sz w:val="18"/>
                <w:szCs w:val="18"/>
              </w:rPr>
              <w:br w:type="textWrapping"/>
            </w:r>
            <w:r>
              <w:rPr>
                <w:rFonts w:hint="eastAsia" w:ascii="宋体" w:hAnsi="宋体" w:eastAsia="等线" w:cs="宋体"/>
                <w:color w:val="000000"/>
                <w:kern w:val="0"/>
                <w:sz w:val="18"/>
                <w:szCs w:val="18"/>
              </w:rPr>
              <w:t>3.围绕进一步强化全国科技创新中心核心功能、科技创新能力引领全国的战略目标，以科协系统全面深化改革为动力，按照市委抓好“三件大事”，带头打好“三大攻坚战”要求，围绕中国科协“1-9-6-1”工作布局，强化政治引领，深化系统改革，</w:t>
            </w:r>
            <w:bookmarkStart w:id="3" w:name="_Hlk103775684"/>
            <w:r>
              <w:rPr>
                <w:rFonts w:hint="eastAsia" w:ascii="宋体" w:hAnsi="宋体" w:eastAsia="等线" w:cs="宋体"/>
                <w:color w:val="000000"/>
                <w:kern w:val="0"/>
                <w:sz w:val="18"/>
                <w:szCs w:val="18"/>
              </w:rPr>
              <w:t>认真履行好“四服务一加强”等工作</w:t>
            </w:r>
            <w:bookmarkEnd w:id="3"/>
            <w:r>
              <w:rPr>
                <w:rFonts w:hint="eastAsia" w:ascii="宋体" w:hAnsi="宋体" w:eastAsia="等线" w:cs="宋体"/>
                <w:color w:val="000000"/>
                <w:kern w:val="0"/>
                <w:sz w:val="18"/>
                <w:szCs w:val="18"/>
              </w:rPr>
              <w:t>，稳步推进新时代科协事业发展。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000" w:type="pct"/>
            <w:gridSpan w:val="2"/>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b/>
                <w:bCs/>
                <w:color w:val="000000"/>
                <w:kern w:val="0"/>
                <w:sz w:val="18"/>
                <w:szCs w:val="18"/>
              </w:rPr>
              <w:t>绩效指标（指标内容和指标值）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b/>
                <w:bCs/>
                <w:color w:val="000000"/>
                <w:kern w:val="0"/>
                <w:sz w:val="18"/>
                <w:szCs w:val="18"/>
              </w:rPr>
            </w:pPr>
            <w:r>
              <w:rPr>
                <w:rFonts w:hint="eastAsia" w:ascii="宋体" w:hAnsi="宋体" w:eastAsia="等线" w:cs="宋体"/>
                <w:color w:val="000000"/>
                <w:kern w:val="0"/>
                <w:sz w:val="18"/>
                <w:szCs w:val="18"/>
              </w:rPr>
              <w:t>绩效指标一</w:t>
            </w:r>
          </w:p>
        </w:tc>
        <w:tc>
          <w:tcPr>
            <w:tcW w:w="4281" w:type="pct"/>
            <w:vAlign w:val="bottom"/>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强化对科技工作者政治引领工作。持之以恒加强党的建设，认真履行主体责任，严格执行新形势下党内政治生活若干准则，指导完善检查考核制度、健全压力传导机制，为科协发展提供坚强政治保证。涉及重点工作包括强化社会组织党建工作体系和组织体系功能，全面开展社会组织党支部规范化建设，创新党建活动模式。深化老科学家学术成长资料采集工程，发挥青少年科学俱乐部作用，大力弘扬科学家精神。开展“5·30”全国科技工作者日系列宣传，强化学风建设，营造良好学术生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绩效指标二</w:t>
            </w:r>
          </w:p>
        </w:tc>
        <w:tc>
          <w:tcPr>
            <w:tcW w:w="4281" w:type="pct"/>
            <w:vAlign w:val="bottom"/>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学术交流活动及促进学会发展、科技人才成长工作。包括组织协调北京市系统综合性及多学科的学术研讨活动、学术交流及成果评价、学会科技人才项目资助、人才举荐和表彰等工作，以促进学科、学会学术发展，深化经理学术实践，优化学术环境，带动首都科技社团高水平发展。涉及重点工作包括打造与北京建设具有全球影响力的科技创新中心相称的学术交流主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绩效指标三</w:t>
            </w:r>
          </w:p>
        </w:tc>
        <w:tc>
          <w:tcPr>
            <w:tcW w:w="4281" w:type="pct"/>
            <w:vAlign w:val="bottom"/>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科普活动、科技教育活动及科普场所、设施建设工作。包括科普工作队伍建设、开展科普活动、组织青少年科技教育活动以及科普场所、设施的规划、建设等工作，以推动首都科学教育场馆提质升级，形成合力、有序发展，共享优质科普资源，提升北京市公民科学素质，到2020年全市公民具备基本科学素养比例达到24％，继续保持全国领先水平。涉及重点工作包括发挥北京科学教育馆协会平台作用，完善北京科学中心“1+16+N”体系功能，举办北京科学嘉年华、北京公民科学素质大赛等活动，打造“北京国际科学传播交流周”品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绩效指标四</w:t>
            </w:r>
          </w:p>
        </w:tc>
        <w:tc>
          <w:tcPr>
            <w:tcW w:w="4281" w:type="pct"/>
            <w:vAlign w:val="bottom"/>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科技工作者服务体系建设工作。全力发现和培养优秀青少年科技创新人才，包括青少年科技后备人才早期培养计划、青年科技人才成长计划；支持市学会将学术交流与人才的发现、汇聚、推举紧密结合，为青年科技人才成长创造机会、搭建平台，托举青年科技工作者成长成才；发挥离退休科技人才作用计划；筹备建立首都海智科技创新联盟，通过海外智力为首都建设服务计划，为海外高层次人才、海归青年科技人员回国创新创业提供全方位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绩效指标五</w:t>
            </w:r>
          </w:p>
        </w:tc>
        <w:tc>
          <w:tcPr>
            <w:tcW w:w="4281" w:type="pct"/>
            <w:vAlign w:val="bottom"/>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科技创新服务支撑体系建设工作。包括院士专家工作站建设、科技创新中心服务“生态圈”建设，通过北京工程师学会服务北京近千家开放式企业科协和50万企业科技工作者，以丰富科技服务形式，引领科技工作者积极服务企业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绩效指标六</w:t>
            </w:r>
          </w:p>
        </w:tc>
        <w:tc>
          <w:tcPr>
            <w:tcW w:w="4281" w:type="pct"/>
            <w:vAlign w:val="bottom"/>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决策咨询服务体系建设工作。发挥“小中心、大网络”的平台功能，推进科协特色智库体系建设。重点工作包括智库成果传播和转化，探索建立年度智库成果发布机制，以团结业内科技工作者，深入调查研究，积极建言献策，提升为党和政府科学决策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绩效指标七</w:t>
            </w:r>
          </w:p>
        </w:tc>
        <w:tc>
          <w:tcPr>
            <w:tcW w:w="4281" w:type="pct"/>
            <w:vAlign w:val="bottom"/>
          </w:tcPr>
          <w:p>
            <w:pPr>
              <w:adjustRightInd w:val="0"/>
              <w:snapToGrid w:val="0"/>
              <w:rPr>
                <w:rFonts w:ascii="宋体" w:hAnsi="宋体" w:eastAsia="等线" w:cs="宋体"/>
                <w:color w:val="000000"/>
                <w:kern w:val="0"/>
                <w:sz w:val="18"/>
                <w:szCs w:val="18"/>
              </w:rPr>
            </w:pPr>
            <w:r>
              <w:rPr>
                <w:rFonts w:hint="eastAsia" w:ascii="宋体" w:hAnsi="宋体" w:eastAsia="等线" w:cs="宋体"/>
                <w:color w:val="000000"/>
                <w:kern w:val="0"/>
                <w:sz w:val="18"/>
                <w:szCs w:val="18"/>
              </w:rPr>
              <w:t>科协团体自身建设工作。包括学会向独立社团法人转变推动、学会向专业性的社会组织转变推动以及学会党建、基层科协发展、科协机关自身建设等工作，以进一步解放思想，提升科协组织创新活力，扩展科协组织覆盖面，增强科协组织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719" w:type="pct"/>
            <w:vAlign w:val="center"/>
          </w:tcPr>
          <w:p>
            <w:pPr>
              <w:adjustRightInd w:val="0"/>
              <w:snapToGrid w:val="0"/>
              <w:jc w:val="center"/>
              <w:rPr>
                <w:rFonts w:ascii="宋体" w:hAnsi="宋体" w:eastAsia="等线" w:cs="宋体"/>
                <w:color w:val="000000"/>
                <w:kern w:val="0"/>
                <w:sz w:val="18"/>
                <w:szCs w:val="18"/>
              </w:rPr>
            </w:pPr>
            <w:r>
              <w:rPr>
                <w:rFonts w:hint="eastAsia" w:ascii="宋体" w:hAnsi="宋体" w:eastAsia="等线" w:cs="宋体"/>
                <w:color w:val="000000"/>
                <w:kern w:val="0"/>
                <w:sz w:val="18"/>
                <w:szCs w:val="18"/>
              </w:rPr>
              <w:t>其他说明的问题</w:t>
            </w:r>
          </w:p>
        </w:tc>
        <w:tc>
          <w:tcPr>
            <w:tcW w:w="4281" w:type="pct"/>
            <w:vAlign w:val="center"/>
          </w:tcPr>
          <w:p>
            <w:pPr>
              <w:adjustRightInd w:val="0"/>
              <w:snapToGrid w:val="0"/>
              <w:jc w:val="center"/>
              <w:rPr>
                <w:rFonts w:ascii="宋体" w:hAnsi="宋体" w:eastAsia="等线" w:cs="宋体"/>
                <w:color w:val="000000"/>
                <w:kern w:val="0"/>
                <w:sz w:val="18"/>
                <w:szCs w:val="18"/>
              </w:rPr>
            </w:pPr>
          </w:p>
        </w:tc>
      </w:tr>
    </w:tbl>
    <w:p>
      <w:pPr>
        <w:adjustRightInd w:val="0"/>
        <w:snapToGrid w:val="0"/>
        <w:spacing w:line="360" w:lineRule="auto"/>
        <w:ind w:firstLine="640" w:firstLineChars="200"/>
        <w:rPr>
          <w:rFonts w:ascii="仿宋_GB2312" w:eastAsia="仿宋_GB2312"/>
          <w:sz w:val="32"/>
          <w:szCs w:val="32"/>
        </w:rPr>
      </w:pPr>
    </w:p>
    <w:p>
      <w:pPr>
        <w:adjustRightInd w:val="0"/>
        <w:snapToGrid w:val="0"/>
        <w:spacing w:line="360" w:lineRule="auto"/>
        <w:ind w:firstLine="640" w:firstLineChars="200"/>
        <w:rPr>
          <w:rFonts w:ascii="仿宋_GB2312" w:eastAsia="仿宋_GB2312"/>
          <w:color w:val="FF0000"/>
          <w:sz w:val="32"/>
          <w:szCs w:val="32"/>
        </w:rPr>
      </w:pPr>
      <w:r>
        <w:rPr>
          <w:rFonts w:hint="eastAsia" w:ascii="仿宋_GB2312" w:eastAsia="仿宋_GB2312"/>
          <w:sz w:val="32"/>
          <w:szCs w:val="32"/>
        </w:rPr>
        <w:t>经核实，</w:t>
      </w:r>
      <w:r>
        <w:rPr>
          <w:rFonts w:hint="eastAsia" w:ascii="仿宋_GB2312" w:hAnsi="仿宋" w:eastAsia="仿宋_GB2312"/>
          <w:sz w:val="32"/>
          <w:szCs w:val="32"/>
        </w:rPr>
        <w:t>市科协</w:t>
      </w:r>
      <w:r>
        <w:rPr>
          <w:rFonts w:hint="eastAsia" w:ascii="仿宋_GB2312" w:eastAsia="仿宋_GB2312"/>
          <w:sz w:val="32"/>
          <w:szCs w:val="32"/>
        </w:rPr>
        <w:t>设置的2</w:t>
      </w:r>
      <w:r>
        <w:rPr>
          <w:rFonts w:ascii="仿宋_GB2312" w:eastAsia="仿宋_GB2312"/>
          <w:sz w:val="32"/>
          <w:szCs w:val="32"/>
        </w:rPr>
        <w:t>021</w:t>
      </w:r>
      <w:r>
        <w:rPr>
          <w:rFonts w:hint="eastAsia" w:ascii="仿宋_GB2312" w:eastAsia="仿宋_GB2312"/>
          <w:sz w:val="32"/>
          <w:szCs w:val="32"/>
        </w:rPr>
        <w:t>年度部门整体绩效目标与</w:t>
      </w:r>
      <w:r>
        <w:rPr>
          <w:rFonts w:hint="eastAsia" w:ascii="仿宋_GB2312" w:hAnsi="仿宋" w:eastAsia="仿宋_GB2312"/>
          <w:sz w:val="32"/>
          <w:szCs w:val="32"/>
        </w:rPr>
        <w:t>其</w:t>
      </w:r>
      <w:r>
        <w:rPr>
          <w:rFonts w:hint="eastAsia" w:ascii="仿宋_GB2312" w:eastAsia="仿宋_GB2312"/>
          <w:sz w:val="32"/>
          <w:szCs w:val="32"/>
        </w:rPr>
        <w:t>内设机构及所属事业单位的职责任务相匹配，绩效目标及指标设置合理。具体表现为：一是</w:t>
      </w:r>
      <w:r>
        <w:rPr>
          <w:rFonts w:ascii="仿宋_GB2312" w:eastAsia="仿宋_GB2312"/>
          <w:sz w:val="32"/>
          <w:szCs w:val="32"/>
        </w:rPr>
        <w:t>“</w:t>
      </w:r>
      <w:r>
        <w:rPr>
          <w:rFonts w:hint="eastAsia" w:ascii="仿宋_GB2312" w:eastAsia="仿宋_GB2312"/>
          <w:sz w:val="32"/>
          <w:szCs w:val="32"/>
        </w:rPr>
        <w:t>部门（单位）绩效目标”所概括的部门年度总体绩效目标，提到的认真履行好“四服务、一加强”等工作是市科协的主要职能职责。二是</w:t>
      </w:r>
      <w:r>
        <w:rPr>
          <w:rFonts w:ascii="仿宋_GB2312" w:eastAsia="仿宋_GB2312"/>
          <w:sz w:val="32"/>
          <w:szCs w:val="32"/>
        </w:rPr>
        <w:t>“</w:t>
      </w:r>
      <w:r>
        <w:rPr>
          <w:rFonts w:hint="eastAsia" w:ascii="仿宋_GB2312" w:eastAsia="仿宋_GB2312"/>
          <w:sz w:val="32"/>
          <w:szCs w:val="32"/>
        </w:rPr>
        <w:t>绩效指标”是对总体目标的分解和细化。</w:t>
      </w:r>
      <w:r>
        <w:rPr>
          <w:rFonts w:hint="eastAsia" w:ascii="仿宋_GB2312" w:hAnsi="仿宋" w:eastAsia="仿宋_GB2312"/>
          <w:sz w:val="32"/>
          <w:szCs w:val="32"/>
        </w:rPr>
        <w:t>市科协</w:t>
      </w:r>
      <w:r>
        <w:rPr>
          <w:rFonts w:hint="eastAsia" w:ascii="仿宋_GB2312" w:eastAsia="仿宋_GB2312"/>
          <w:sz w:val="32"/>
          <w:szCs w:val="32"/>
        </w:rPr>
        <w:t>所填报的内容均按照部门职能、年度重点重点工作分条填写。三是</w:t>
      </w:r>
      <w:r>
        <w:rPr>
          <w:rFonts w:ascii="仿宋_GB2312" w:eastAsia="仿宋_GB2312"/>
          <w:sz w:val="32"/>
          <w:szCs w:val="32"/>
        </w:rPr>
        <w:t>“</w:t>
      </w:r>
      <w:r>
        <w:rPr>
          <w:rFonts w:hint="eastAsia" w:ascii="仿宋_GB2312" w:eastAsia="仿宋_GB2312"/>
          <w:sz w:val="32"/>
          <w:szCs w:val="32"/>
        </w:rPr>
        <w:t>指标内容和指标值”均包括年度产出目标以及相应产出所带来的效果目标。其中，产出目标尽量做到定量化描述，预期效果指标虽为定性描述但也尽量做到了明确。</w:t>
      </w:r>
      <w:r>
        <w:rPr>
          <w:rFonts w:ascii="仿宋_GB2312" w:eastAsia="仿宋_GB2312"/>
          <w:sz w:val="32"/>
          <w:szCs w:val="32"/>
        </w:rPr>
        <w:t>“</w:t>
      </w:r>
      <w:r>
        <w:rPr>
          <w:rFonts w:hint="eastAsia" w:ascii="仿宋_GB2312" w:eastAsia="仿宋_GB2312"/>
          <w:sz w:val="32"/>
          <w:szCs w:val="32"/>
        </w:rPr>
        <w:t>指标内容”能够对分解细化绩效目标的具体描述，同时也反映了绩效指标与重点工作的关系；</w:t>
      </w:r>
      <w:r>
        <w:rPr>
          <w:rFonts w:ascii="仿宋_GB2312" w:eastAsia="仿宋_GB2312"/>
          <w:sz w:val="32"/>
          <w:szCs w:val="32"/>
        </w:rPr>
        <w:t>“</w:t>
      </w:r>
      <w:r>
        <w:rPr>
          <w:rFonts w:hint="eastAsia" w:ascii="仿宋_GB2312" w:eastAsia="仿宋_GB2312"/>
          <w:sz w:val="32"/>
          <w:szCs w:val="32"/>
        </w:rPr>
        <w:t>指标值”能够将绩效目标要达到的量化的情况尽可能选取可衡量的值。</w:t>
      </w:r>
    </w:p>
    <w:p>
      <w:pPr>
        <w:adjustRightInd w:val="0"/>
        <w:snapToGrid w:val="0"/>
        <w:spacing w:line="360" w:lineRule="auto"/>
        <w:ind w:firstLine="640" w:firstLineChars="200"/>
        <w:outlineLvl w:val="0"/>
        <w:rPr>
          <w:rFonts w:ascii="黑体" w:hAnsi="黑体" w:eastAsia="黑体"/>
          <w:sz w:val="32"/>
          <w:szCs w:val="32"/>
        </w:rPr>
      </w:pPr>
      <w:bookmarkStart w:id="4" w:name="_Toc103362016"/>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当年</w:t>
      </w:r>
      <w:r>
        <w:rPr>
          <w:rFonts w:ascii="黑体" w:hAnsi="黑体" w:eastAsia="黑体"/>
          <w:sz w:val="32"/>
          <w:szCs w:val="32"/>
        </w:rPr>
        <w:t>预算执行情况</w:t>
      </w:r>
      <w:bookmarkEnd w:id="4"/>
    </w:p>
    <w:p>
      <w:pPr>
        <w:adjustRightInd w:val="0"/>
        <w:snapToGrid w:val="0"/>
        <w:spacing w:line="360"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021</w:t>
      </w:r>
      <w:r>
        <w:rPr>
          <w:rFonts w:hint="eastAsia" w:ascii="仿宋_GB2312" w:hAnsi="宋体" w:eastAsia="仿宋_GB2312" w:cs="宋体"/>
          <w:kern w:val="0"/>
          <w:sz w:val="32"/>
          <w:szCs w:val="32"/>
        </w:rPr>
        <w:t>年度，</w:t>
      </w:r>
      <w:r>
        <w:rPr>
          <w:rFonts w:hint="eastAsia" w:ascii="仿宋_GB2312" w:hAnsi="仿宋" w:eastAsia="仿宋_GB2312"/>
          <w:sz w:val="32"/>
          <w:szCs w:val="32"/>
        </w:rPr>
        <w:t>市科协</w:t>
      </w:r>
      <w:r>
        <w:rPr>
          <w:rFonts w:ascii="仿宋_GB2312" w:hAnsi="宋体" w:eastAsia="仿宋_GB2312" w:cs="宋体"/>
          <w:kern w:val="0"/>
          <w:sz w:val="32"/>
          <w:szCs w:val="32"/>
        </w:rPr>
        <w:t>全年</w:t>
      </w:r>
      <w:r>
        <w:rPr>
          <w:rFonts w:hint="eastAsia" w:ascii="仿宋_GB2312" w:hAnsi="宋体" w:eastAsia="仿宋_GB2312" w:cs="宋体"/>
          <w:kern w:val="0"/>
          <w:sz w:val="32"/>
          <w:szCs w:val="32"/>
        </w:rPr>
        <w:t>预算数</w:t>
      </w:r>
      <w:r>
        <w:rPr>
          <w:rFonts w:ascii="仿宋_GB2312" w:hAnsi="宋体" w:eastAsia="仿宋_GB2312" w:cs="宋体"/>
          <w:kern w:val="0"/>
          <w:sz w:val="32"/>
          <w:szCs w:val="32"/>
        </w:rPr>
        <w:t>42,268.739040</w:t>
      </w:r>
      <w:r>
        <w:rPr>
          <w:rFonts w:hint="eastAsia" w:ascii="仿宋_GB2312" w:hAnsi="宋体" w:eastAsia="仿宋_GB2312" w:cs="宋体"/>
          <w:kern w:val="0"/>
          <w:sz w:val="32"/>
          <w:szCs w:val="32"/>
        </w:rPr>
        <w:t>万元，</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ascii="仿宋_GB2312" w:hAnsi="宋体" w:eastAsia="仿宋_GB2312" w:cs="宋体"/>
          <w:kern w:val="0"/>
          <w:sz w:val="32"/>
          <w:szCs w:val="32"/>
        </w:rPr>
        <w:t>16,239.524462</w:t>
      </w:r>
      <w:r>
        <w:rPr>
          <w:rFonts w:hint="eastAsia" w:ascii="仿宋_GB2312" w:hAnsi="仿宋" w:eastAsia="仿宋_GB2312"/>
          <w:sz w:val="32"/>
          <w:szCs w:val="32"/>
        </w:rPr>
        <w:t>万</w:t>
      </w:r>
      <w:r>
        <w:rPr>
          <w:rFonts w:ascii="仿宋_GB2312" w:hAnsi="宋体" w:eastAsia="仿宋_GB2312" w:cs="宋体"/>
          <w:color w:val="000000"/>
          <w:kern w:val="0"/>
          <w:sz w:val="32"/>
          <w:szCs w:val="32"/>
        </w:rPr>
        <w:t>元，</w:t>
      </w:r>
      <w:r>
        <w:rPr>
          <w:rFonts w:hint="eastAsia" w:ascii="仿宋_GB2312" w:hAnsi="宋体" w:eastAsia="仿宋_GB2312" w:cs="宋体"/>
          <w:color w:val="000000"/>
          <w:kern w:val="0"/>
          <w:sz w:val="32"/>
          <w:szCs w:val="32"/>
        </w:rPr>
        <w:t>项目支出预算数</w:t>
      </w:r>
      <w:r>
        <w:rPr>
          <w:rFonts w:ascii="仿宋_GB2312" w:hAnsi="宋体" w:eastAsia="仿宋_GB2312" w:cs="宋体"/>
          <w:kern w:val="0"/>
          <w:sz w:val="32"/>
          <w:szCs w:val="32"/>
        </w:rPr>
        <w:t>26,029.214578</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kern w:val="0"/>
          <w:sz w:val="32"/>
          <w:szCs w:val="32"/>
        </w:rPr>
        <w:t>资金总体</w:t>
      </w:r>
      <w:r>
        <w:rPr>
          <w:rFonts w:hint="eastAsia" w:ascii="仿宋_GB2312" w:hAnsi="宋体" w:eastAsia="仿宋_GB2312" w:cs="宋体"/>
          <w:kern w:val="0"/>
          <w:sz w:val="32"/>
          <w:szCs w:val="32"/>
        </w:rPr>
        <w:t>支出</w:t>
      </w:r>
      <w:r>
        <w:rPr>
          <w:rFonts w:ascii="仿宋_GB2312" w:hAnsi="宋体" w:eastAsia="仿宋_GB2312" w:cs="宋体"/>
          <w:kern w:val="0"/>
          <w:sz w:val="32"/>
          <w:szCs w:val="32"/>
        </w:rPr>
        <w:t>37,259.752792</w:t>
      </w:r>
      <w:r>
        <w:rPr>
          <w:rFonts w:hint="eastAsia" w:ascii="仿宋_GB2312" w:hAnsi="宋体" w:eastAsia="仿宋_GB2312" w:cs="宋体"/>
          <w:kern w:val="0"/>
          <w:sz w:val="32"/>
          <w:szCs w:val="32"/>
        </w:rPr>
        <w:t>万元，</w:t>
      </w:r>
      <w:r>
        <w:rPr>
          <w:rFonts w:ascii="仿宋_GB2312" w:hAnsi="宋体" w:eastAsia="仿宋_GB2312" w:cs="宋体"/>
          <w:color w:val="000000"/>
          <w:kern w:val="0"/>
          <w:sz w:val="32"/>
          <w:szCs w:val="32"/>
        </w:rPr>
        <w:t>其中，基本支出</w:t>
      </w:r>
      <w:r>
        <w:rPr>
          <w:rFonts w:ascii="仿宋_GB2312" w:hAnsi="宋体" w:eastAsia="仿宋_GB2312" w:cs="宋体"/>
          <w:kern w:val="0"/>
          <w:sz w:val="32"/>
          <w:szCs w:val="32"/>
        </w:rPr>
        <w:t>15,343.090674</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w:t>
      </w:r>
      <w:r>
        <w:rPr>
          <w:rFonts w:ascii="仿宋_GB2312" w:hAnsi="宋体" w:eastAsia="仿宋_GB2312" w:cs="宋体"/>
          <w:kern w:val="0"/>
          <w:sz w:val="32"/>
          <w:szCs w:val="32"/>
        </w:rPr>
        <w:t>21,916.662118</w:t>
      </w:r>
      <w:r>
        <w:rPr>
          <w:rFonts w:ascii="仿宋_GB2312" w:hAnsi="宋体" w:eastAsia="仿宋_GB2312" w:cs="宋体"/>
          <w:color w:val="000000"/>
          <w:kern w:val="0"/>
          <w:sz w:val="32"/>
          <w:szCs w:val="32"/>
        </w:rPr>
        <w:t>万元。</w:t>
      </w:r>
      <w:r>
        <w:rPr>
          <w:rFonts w:hint="eastAsia" w:ascii="仿宋_GB2312" w:hAnsi="宋体" w:eastAsia="仿宋_GB2312" w:cs="宋体"/>
          <w:kern w:val="0"/>
          <w:sz w:val="32"/>
          <w:szCs w:val="32"/>
        </w:rPr>
        <w:t>整体预算</w:t>
      </w:r>
      <w:r>
        <w:rPr>
          <w:rFonts w:ascii="仿宋_GB2312" w:hAnsi="宋体" w:eastAsia="仿宋_GB2312" w:cs="宋体"/>
          <w:kern w:val="0"/>
          <w:sz w:val="32"/>
          <w:szCs w:val="32"/>
        </w:rPr>
        <w:t>执行率为88.15%</w:t>
      </w:r>
      <w:r>
        <w:rPr>
          <w:rFonts w:hint="eastAsia" w:ascii="仿宋_GB2312" w:hAnsi="宋体" w:eastAsia="仿宋_GB2312" w:cs="宋体"/>
          <w:kern w:val="0"/>
          <w:sz w:val="32"/>
          <w:szCs w:val="32"/>
        </w:rPr>
        <w:t>。</w:t>
      </w:r>
    </w:p>
    <w:p>
      <w:pPr>
        <w:adjustRightInd w:val="0"/>
        <w:snapToGrid w:val="0"/>
        <w:spacing w:line="360" w:lineRule="auto"/>
        <w:ind w:firstLine="640" w:firstLineChars="200"/>
        <w:outlineLvl w:val="0"/>
        <w:rPr>
          <w:rFonts w:ascii="黑体" w:hAnsi="黑体" w:eastAsia="黑体"/>
          <w:sz w:val="32"/>
          <w:szCs w:val="32"/>
        </w:rPr>
      </w:pPr>
      <w:bookmarkStart w:id="5" w:name="_Toc103362017"/>
      <w:r>
        <w:rPr>
          <w:rFonts w:hint="eastAsia" w:ascii="黑体" w:hAnsi="黑体" w:eastAsia="黑体"/>
          <w:sz w:val="32"/>
          <w:szCs w:val="32"/>
        </w:rPr>
        <w:t>三</w:t>
      </w:r>
      <w:r>
        <w:rPr>
          <w:rFonts w:ascii="黑体" w:hAnsi="黑体" w:eastAsia="黑体"/>
          <w:sz w:val="32"/>
          <w:szCs w:val="32"/>
        </w:rPr>
        <w:t>、整体绩效目标实现情况</w:t>
      </w:r>
      <w:bookmarkEnd w:id="5"/>
    </w:p>
    <w:p>
      <w:pPr>
        <w:adjustRightInd w:val="0"/>
        <w:snapToGrid w:val="0"/>
        <w:spacing w:line="360" w:lineRule="auto"/>
        <w:ind w:firstLine="640" w:firstLineChars="200"/>
        <w:outlineLvl w:val="1"/>
        <w:rPr>
          <w:rFonts w:ascii="楷体_GB2312" w:hAnsi="仿宋" w:eastAsia="楷体_GB2312"/>
          <w:sz w:val="32"/>
          <w:szCs w:val="32"/>
        </w:rPr>
      </w:pPr>
      <w:bookmarkStart w:id="6" w:name="_Toc103362018"/>
      <w:r>
        <w:rPr>
          <w:rFonts w:hint="eastAsia" w:ascii="楷体_GB2312" w:hAnsi="仿宋" w:eastAsia="楷体_GB2312"/>
          <w:sz w:val="32"/>
          <w:szCs w:val="32"/>
        </w:rPr>
        <w:t>（一）产出完成情况分析</w:t>
      </w:r>
      <w:bookmarkEnd w:id="6"/>
    </w:p>
    <w:p>
      <w:pPr>
        <w:adjustRightInd w:val="0"/>
        <w:snapToGrid w:val="0"/>
        <w:spacing w:line="360" w:lineRule="auto"/>
        <w:ind w:firstLine="640" w:firstLineChars="20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adjustRightInd w:val="0"/>
        <w:snapToGrid w:val="0"/>
        <w:spacing w:line="360" w:lineRule="auto"/>
        <w:ind w:firstLine="640" w:firstLineChars="200"/>
        <w:rPr>
          <w:rFonts w:ascii="仿宋_GB2312" w:hAnsi="黑体" w:eastAsia="仿宋_GB2312" w:cs="方正黑体_GBK"/>
          <w:b/>
          <w:bCs/>
          <w:sz w:val="32"/>
          <w:szCs w:val="32"/>
        </w:rPr>
      </w:pPr>
      <w:r>
        <w:rPr>
          <w:rFonts w:hint="eastAsia" w:ascii="仿宋_GB2312" w:hAnsi="黑体" w:eastAsia="仿宋_GB2312" w:cs="方正黑体_GBK"/>
          <w:sz w:val="32"/>
          <w:szCs w:val="32"/>
        </w:rPr>
        <w:t>（</w:t>
      </w:r>
      <w:r>
        <w:rPr>
          <w:rFonts w:hint="eastAsia" w:ascii="仿宋_GB2312" w:hAnsi="黑体" w:eastAsia="仿宋_GB2312" w:cs="方正黑体_GBK"/>
          <w:b/>
          <w:bCs/>
          <w:sz w:val="32"/>
          <w:szCs w:val="32"/>
        </w:rPr>
        <w:t>1）强化政治引领，团结首都广大科技工作者</w:t>
      </w:r>
    </w:p>
    <w:p>
      <w:pPr>
        <w:adjustRightInd w:val="0"/>
        <w:snapToGrid w:val="0"/>
        <w:spacing w:line="360" w:lineRule="auto"/>
        <w:ind w:firstLine="643" w:firstLineChars="200"/>
        <w:rPr>
          <w:rFonts w:ascii="仿宋_GB2312" w:eastAsia="仿宋_GB2312"/>
          <w:sz w:val="32"/>
          <w:szCs w:val="32"/>
        </w:rPr>
      </w:pPr>
      <w:r>
        <w:rPr>
          <w:rFonts w:hint="eastAsia" w:ascii="仿宋_GB2312" w:hAnsi="楷体_GB2312" w:eastAsia="仿宋_GB2312" w:cs="楷体_GB2312"/>
          <w:b/>
          <w:bCs/>
          <w:sz w:val="32"/>
          <w:szCs w:val="32"/>
        </w:rPr>
        <w:t>扎实开展党史学习教育</w:t>
      </w:r>
      <w:r>
        <w:rPr>
          <w:rFonts w:hint="eastAsia" w:ascii="楷体_GB2312" w:hAnsi="楷体_GB2312" w:eastAsia="楷体_GB2312" w:cs="楷体_GB2312"/>
          <w:sz w:val="32"/>
          <w:szCs w:val="32"/>
        </w:rPr>
        <w:t>，</w:t>
      </w:r>
      <w:r>
        <w:rPr>
          <w:rFonts w:hint="eastAsia" w:ascii="仿宋_GB2312" w:hAnsi="黑体" w:eastAsia="仿宋_GB2312"/>
          <w:sz w:val="32"/>
          <w:szCs w:val="32"/>
        </w:rPr>
        <w:t>市科协党组及时传达学习习近平总书记重要讲话和指示批示，全年召开53次党组会议和20次党组理论学习中心组集体学习。</w:t>
      </w:r>
      <w:r>
        <w:rPr>
          <w:rFonts w:hint="eastAsia" w:ascii="仿宋_GB2312" w:hAnsi="仿宋_GB2312" w:eastAsia="仿宋_GB2312" w:cs="仿宋_GB2312"/>
          <w:sz w:val="32"/>
          <w:szCs w:val="32"/>
        </w:rPr>
        <w:t>市科协党组下沉基层，开展调研近1500人次，17项</w:t>
      </w:r>
      <w:r>
        <w:rPr>
          <w:rStyle w:val="31"/>
          <w:rFonts w:hint="eastAsia" w:ascii="仿宋_GB2312" w:hAnsi="仿宋_GB2312" w:eastAsia="仿宋_GB2312" w:cs="仿宋_GB2312"/>
          <w:color w:val="000000"/>
          <w:sz w:val="32"/>
          <w:szCs w:val="32"/>
        </w:rPr>
        <w:t>办实事</w:t>
      </w:r>
      <w:r>
        <w:rPr>
          <w:rFonts w:hint="eastAsia" w:ascii="仿宋_GB2312" w:hAnsi="仿宋_GB2312" w:eastAsia="仿宋_GB2312" w:cs="仿宋_GB2312"/>
          <w:sz w:val="32"/>
          <w:szCs w:val="32"/>
        </w:rPr>
        <w:t>事项全部完成。</w:t>
      </w:r>
      <w:r>
        <w:rPr>
          <w:rFonts w:hint="eastAsia" w:ascii="仿宋_GB2312" w:hAnsi="仿宋_GB2312" w:eastAsia="仿宋_GB2312" w:cs="仿宋_GB2312"/>
          <w:b/>
          <w:bCs/>
          <w:sz w:val="32"/>
          <w:szCs w:val="32"/>
        </w:rPr>
        <w:t>开展科技工作者思想政治工作</w:t>
      </w:r>
      <w:r>
        <w:rPr>
          <w:rStyle w:val="31"/>
          <w:rFonts w:hint="eastAsia" w:ascii="仿宋_GB2312" w:eastAsia="仿宋_GB2312"/>
          <w:sz w:val="32"/>
          <w:szCs w:val="32"/>
        </w:rPr>
        <w:t>，推荐王绶</w:t>
      </w:r>
      <w:r>
        <w:rPr>
          <w:rStyle w:val="31"/>
          <w:rFonts w:hint="eastAsia" w:ascii="宋体" w:hAnsi="宋体" w:cs="宋体"/>
          <w:sz w:val="32"/>
          <w:szCs w:val="32"/>
        </w:rPr>
        <w:t>琯</w:t>
      </w:r>
      <w:r>
        <w:rPr>
          <w:rStyle w:val="31"/>
          <w:rFonts w:hint="eastAsia" w:ascii="仿宋_GB2312" w:hAnsi="仿宋_GB2312" w:eastAsia="仿宋_GB2312" w:cs="仿宋_GB2312"/>
          <w:sz w:val="32"/>
          <w:szCs w:val="32"/>
        </w:rPr>
        <w:t>院士获评第八届全国道德模范，举办</w:t>
      </w:r>
      <w:r>
        <w:rPr>
          <w:rFonts w:hint="eastAsia" w:ascii="仿宋_GB2312" w:eastAsia="仿宋_GB2312"/>
          <w:kern w:val="32"/>
          <w:sz w:val="32"/>
          <w:szCs w:val="32"/>
        </w:rPr>
        <w:t>“信仰的高光”科学家精神主题展，</w:t>
      </w:r>
      <w:r>
        <w:rPr>
          <w:rFonts w:hint="eastAsia" w:ascii="仿宋_GB2312" w:eastAsia="仿宋_GB2312"/>
          <w:sz w:val="32"/>
          <w:szCs w:val="32"/>
        </w:rPr>
        <w:t>精选钱学森等著名科学家以及市科协原主席茅以升、王大珩、顾方舟、陈佳洱等103名科学家珍贵史料。</w:t>
      </w:r>
      <w:r>
        <w:rPr>
          <w:rStyle w:val="31"/>
          <w:rFonts w:hint="eastAsia" w:ascii="仿宋_GB2312" w:eastAsia="仿宋_GB2312"/>
          <w:sz w:val="32"/>
          <w:szCs w:val="32"/>
        </w:rPr>
        <w:t>开展“全国科技工作者日”主题活动75项。</w:t>
      </w:r>
      <w:r>
        <w:rPr>
          <w:rFonts w:hint="eastAsia" w:ascii="仿宋_GB2312" w:eastAsia="仿宋_GB2312"/>
          <w:kern w:val="32"/>
          <w:sz w:val="32"/>
          <w:szCs w:val="32"/>
        </w:rPr>
        <w:t>遴选10名北京“最美科技工作者”，庄文颖院士荣获全国“最美科技工作者”称号，科技界和社会公众广泛关注，新华社、人民日报等媒体报道原创稿件50余篇，阅读量累计超过1000万次。</w:t>
      </w:r>
      <w:r>
        <w:rPr>
          <w:rFonts w:hint="eastAsia" w:ascii="仿宋_GB2312" w:hAnsi="仿宋_GB2312" w:eastAsia="仿宋_GB2312" w:cs="仿宋_GB2312"/>
          <w:b/>
          <w:bCs/>
          <w:kern w:val="0"/>
          <w:sz w:val="32"/>
          <w:szCs w:val="32"/>
          <w:lang w:bidi="ar"/>
        </w:rPr>
        <w:t>推动成立首都科技界党校，</w:t>
      </w:r>
      <w:r>
        <w:rPr>
          <w:rFonts w:hint="eastAsia" w:ascii="仿宋_GB2312" w:hAnsi="仿宋_GB2312" w:eastAsia="仿宋_GB2312" w:cs="仿宋_GB2312"/>
          <w:kern w:val="0"/>
          <w:sz w:val="32"/>
          <w:szCs w:val="32"/>
          <w:lang w:bidi="ar"/>
        </w:rPr>
        <w:t>开</w:t>
      </w:r>
      <w:r>
        <w:rPr>
          <w:rFonts w:hint="eastAsia" w:ascii="仿宋_GB2312" w:hAnsi="仿宋_GB2312" w:eastAsia="仿宋_GB2312" w:cs="仿宋_GB2312"/>
          <w:sz w:val="32"/>
          <w:szCs w:val="32"/>
        </w:rPr>
        <w:t>展“科学家精神进校园”专题活动</w:t>
      </w:r>
      <w:r>
        <w:rPr>
          <w:rFonts w:hint="eastAsia" w:ascii="仿宋_GB2312" w:hAnsi="仿宋_GB2312" w:eastAsia="仿宋_GB2312" w:cs="仿宋_GB2312"/>
          <w:kern w:val="0"/>
          <w:sz w:val="32"/>
          <w:szCs w:val="32"/>
          <w:lang w:bidi="ar"/>
        </w:rPr>
        <w:t>，深入大中小学校开展</w:t>
      </w:r>
      <w:r>
        <w:rPr>
          <w:rFonts w:hint="eastAsia" w:ascii="仿宋_GB2312" w:hAnsi="仿宋_GB2312" w:eastAsia="仿宋_GB2312" w:cs="仿宋_GB2312"/>
          <w:sz w:val="32"/>
          <w:szCs w:val="32"/>
        </w:rPr>
        <w:t>宣讲活动10场，受众3500余人</w:t>
      </w:r>
      <w:r>
        <w:rPr>
          <w:rFonts w:hint="eastAsia" w:ascii="仿宋_GB2312" w:hAnsi="仿宋_GB2312" w:eastAsia="仿宋_GB2312" w:cs="仿宋_GB2312"/>
          <w:kern w:val="0"/>
          <w:sz w:val="32"/>
          <w:szCs w:val="32"/>
          <w:lang w:bidi="ar"/>
        </w:rPr>
        <w:t>。</w:t>
      </w:r>
      <w:r>
        <w:rPr>
          <w:rStyle w:val="31"/>
          <w:rFonts w:hint="eastAsia" w:ascii="仿宋_GB2312" w:eastAsia="仿宋_GB2312"/>
          <w:color w:val="000000"/>
          <w:sz w:val="32"/>
          <w:szCs w:val="32"/>
        </w:rPr>
        <w:t>大力开展</w:t>
      </w:r>
      <w:r>
        <w:rPr>
          <w:rFonts w:hint="eastAsia" w:ascii="仿宋_GB2312" w:eastAsia="仿宋_GB2312"/>
          <w:sz w:val="32"/>
          <w:szCs w:val="32"/>
        </w:rPr>
        <w:t>以政治引领为主导、与工作实际业务相结合的专题培训，全年开展培训活动9期，2000余人次参加。</w:t>
      </w:r>
    </w:p>
    <w:p>
      <w:pPr>
        <w:adjustRightInd w:val="0"/>
        <w:snapToGrid w:val="0"/>
        <w:spacing w:line="360" w:lineRule="auto"/>
        <w:ind w:firstLine="643" w:firstLineChars="200"/>
        <w:rPr>
          <w:rFonts w:ascii="仿宋_GB2312" w:hAnsi="黑体" w:eastAsia="仿宋_GB2312" w:cs="方正黑体_GBK"/>
          <w:b/>
          <w:bCs/>
          <w:sz w:val="32"/>
          <w:szCs w:val="32"/>
        </w:rPr>
      </w:pPr>
      <w:r>
        <w:rPr>
          <w:rFonts w:hint="eastAsia" w:ascii="仿宋_GB2312" w:hAnsi="黑体" w:eastAsia="仿宋_GB2312" w:cs="方正黑体_GBK"/>
          <w:b/>
          <w:bCs/>
          <w:sz w:val="32"/>
          <w:szCs w:val="32"/>
        </w:rPr>
        <w:t>（2）</w:t>
      </w:r>
      <w:r>
        <w:fldChar w:fldCharType="begin"/>
      </w:r>
      <w:r>
        <w:instrText xml:space="preserve"> HYPERLINK "http://www.71.cn/2021/1013/1145096.shtml" \t "_blank" </w:instrText>
      </w:r>
      <w:r>
        <w:fldChar w:fldCharType="separate"/>
      </w:r>
      <w:r>
        <w:rPr>
          <w:rFonts w:hint="eastAsia" w:ascii="仿宋_GB2312" w:hAnsi="黑体" w:eastAsia="仿宋_GB2312" w:cs="方正黑体_GBK"/>
          <w:b/>
          <w:bCs/>
          <w:sz w:val="32"/>
          <w:szCs w:val="32"/>
        </w:rPr>
        <w:t>聚焦创新发展，</w:t>
      </w:r>
      <w:bookmarkStart w:id="7" w:name="_Hlt85711837"/>
      <w:bookmarkEnd w:id="7"/>
      <w:bookmarkStart w:id="8" w:name="_Hlt85711872"/>
      <w:bookmarkEnd w:id="8"/>
      <w:bookmarkStart w:id="9" w:name="_Hlt85711862"/>
      <w:bookmarkEnd w:id="9"/>
      <w:bookmarkStart w:id="10" w:name="_Hlt85711836"/>
      <w:bookmarkEnd w:id="10"/>
      <w:bookmarkStart w:id="11" w:name="_Hlt85711864"/>
      <w:bookmarkEnd w:id="11"/>
      <w:r>
        <w:rPr>
          <w:rFonts w:hint="eastAsia" w:ascii="仿宋_GB2312" w:hAnsi="黑体" w:eastAsia="仿宋_GB2312" w:cs="方正黑体_GBK"/>
          <w:b/>
          <w:bCs/>
          <w:sz w:val="32"/>
          <w:szCs w:val="32"/>
        </w:rPr>
        <w:fldChar w:fldCharType="end"/>
      </w:r>
      <w:r>
        <w:rPr>
          <w:rFonts w:hint="eastAsia" w:ascii="仿宋_GB2312" w:hAnsi="黑体" w:eastAsia="仿宋_GB2312" w:cs="方正黑体_GBK"/>
          <w:b/>
          <w:bCs/>
          <w:sz w:val="32"/>
          <w:szCs w:val="32"/>
        </w:rPr>
        <w:t>建设国际科技创新中心</w:t>
      </w:r>
    </w:p>
    <w:p>
      <w:pPr>
        <w:adjustRightInd w:val="0"/>
        <w:snapToGrid w:val="0"/>
        <w:spacing w:line="360" w:lineRule="auto"/>
        <w:ind w:firstLine="643" w:firstLineChars="200"/>
        <w:rPr>
          <w:rFonts w:ascii="仿宋_GB2312" w:eastAsia="仿宋_GB2312"/>
          <w:sz w:val="32"/>
          <w:szCs w:val="32"/>
        </w:rPr>
      </w:pPr>
      <w:r>
        <w:rPr>
          <w:rFonts w:hint="eastAsia" w:ascii="仿宋_GB2312" w:hAnsi="黑体" w:eastAsia="仿宋_GB2312" w:cs="方正黑体_GBK"/>
          <w:b/>
          <w:bCs/>
          <w:sz w:val="32"/>
          <w:szCs w:val="32"/>
        </w:rPr>
        <w:t>创新开展高水平学术交流，</w:t>
      </w:r>
      <w:r>
        <w:rPr>
          <w:rFonts w:hint="eastAsia" w:ascii="仿宋_GB2312" w:hAnsi="仿宋_GB2312" w:eastAsia="仿宋_GB2312" w:cs="仿宋_GB2312"/>
          <w:sz w:val="32"/>
          <w:szCs w:val="32"/>
        </w:rPr>
        <w:t>承办</w:t>
      </w:r>
      <w:r>
        <w:rPr>
          <w:rFonts w:hint="eastAsia" w:ascii="仿宋_GB2312" w:hAnsi="仿宋" w:eastAsia="仿宋_GB2312" w:cs="仿宋"/>
          <w:sz w:val="32"/>
          <w:szCs w:val="32"/>
        </w:rPr>
        <w:t>第</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届中国科协年会，北京市主要领导、中国科协领导与40位院士、</w:t>
      </w:r>
      <w:r>
        <w:rPr>
          <w:rFonts w:ascii="仿宋_GB2312" w:hAnsi="仿宋_GB2312" w:eastAsia="仿宋_GB2312" w:cs="仿宋_GB2312"/>
          <w:sz w:val="32"/>
          <w:szCs w:val="32"/>
        </w:rPr>
        <w:t>近</w:t>
      </w:r>
      <w:r>
        <w:rPr>
          <w:rFonts w:hint="eastAsia" w:ascii="仿宋_GB2312" w:hAnsi="仿宋_GB2312" w:eastAsia="仿宋_GB2312" w:cs="仿宋_GB2312"/>
          <w:sz w:val="32"/>
          <w:szCs w:val="32"/>
        </w:rPr>
        <w:t>5</w:t>
      </w:r>
      <w:r>
        <w:rPr>
          <w:rFonts w:ascii="仿宋_GB2312" w:hAnsi="仿宋_GB2312" w:eastAsia="仿宋_GB2312" w:cs="仿宋_GB2312"/>
          <w:sz w:val="32"/>
          <w:szCs w:val="32"/>
        </w:rPr>
        <w:t>000名科技工作者</w:t>
      </w:r>
      <w:r>
        <w:rPr>
          <w:rFonts w:hint="eastAsia" w:ascii="仿宋_GB2312" w:hAnsi="仿宋_GB2312" w:eastAsia="仿宋_GB2312" w:cs="仿宋_GB2312"/>
          <w:sz w:val="32"/>
          <w:szCs w:val="32"/>
        </w:rPr>
        <w:t>同台研讨国家</w:t>
      </w:r>
      <w:r>
        <w:rPr>
          <w:rFonts w:ascii="仿宋_GB2312" w:hAnsi="仿宋_GB2312" w:eastAsia="仿宋_GB2312" w:cs="仿宋_GB2312"/>
          <w:sz w:val="32"/>
          <w:szCs w:val="32"/>
        </w:rPr>
        <w:t>和首都创新发展</w:t>
      </w:r>
      <w:r>
        <w:rPr>
          <w:rFonts w:hint="eastAsia" w:ascii="仿宋_GB2312" w:hAnsi="仿宋_GB2312" w:eastAsia="仿宋_GB2312" w:cs="仿宋_GB2312"/>
          <w:sz w:val="32"/>
          <w:szCs w:val="32"/>
        </w:rPr>
        <w:t>，</w:t>
      </w:r>
      <w:r>
        <w:rPr>
          <w:rFonts w:hint="eastAsia" w:ascii="仿宋_GB2312" w:eastAsia="仿宋_GB2312"/>
          <w:sz w:val="32"/>
          <w:szCs w:val="32"/>
        </w:rPr>
        <w:t>“科技共同体担当新时代使命”“迈出‘科创中国’新步伐”等4大系列25项专题活动。开展第24届北京科技交流学术月活动，举办碳中和与绿色发展国际论坛、生命科学与智慧医疗高峰论坛等多项高端化、国际化学术交流，创新开展形式多样的学术交流活动200余场，线上线下参与科技工作者超过1000万人次。围绕</w:t>
      </w:r>
      <w:r>
        <w:rPr>
          <w:rFonts w:ascii="仿宋_GB2312" w:eastAsia="仿宋_GB2312"/>
          <w:sz w:val="32"/>
          <w:szCs w:val="32"/>
        </w:rPr>
        <w:t>人工智能、新能源、物联网等关键技术领域</w:t>
      </w:r>
      <w:r>
        <w:rPr>
          <w:rFonts w:hint="eastAsia" w:ascii="仿宋_GB2312" w:eastAsia="仿宋_GB2312"/>
          <w:sz w:val="32"/>
          <w:szCs w:val="32"/>
        </w:rPr>
        <w:t>开展27场活动，线上累计播放量超2000万人次，单场最高播放量达到200余万次。</w:t>
      </w:r>
      <w:r>
        <w:rPr>
          <w:rFonts w:hint="eastAsia" w:ascii="仿宋_GB2312" w:hAnsi="黑体" w:eastAsia="仿宋_GB2312"/>
          <w:b/>
          <w:bCs/>
          <w:sz w:val="32"/>
          <w:szCs w:val="32"/>
        </w:rPr>
        <w:t>拓展形式推动首都产学研融合，</w:t>
      </w:r>
      <w:r>
        <w:rPr>
          <w:rFonts w:hint="eastAsia" w:ascii="仿宋_GB2312" w:eastAsia="仿宋_GB2312"/>
          <w:sz w:val="32"/>
          <w:szCs w:val="32"/>
        </w:rPr>
        <w:t>推动全国学会与</w:t>
      </w:r>
      <w:r>
        <w:rPr>
          <w:rFonts w:hint="eastAsia" w:ascii="仿宋_GB2312" w:hAnsi="仿宋_GB2312" w:eastAsia="仿宋_GB2312" w:cs="仿宋_GB2312"/>
          <w:sz w:val="32"/>
          <w:szCs w:val="32"/>
        </w:rPr>
        <w:t>顺义临空经济核心区、中关村生命科学园等5个区（园区）、联盟进行产学研深度合作。</w:t>
      </w:r>
      <w:r>
        <w:rPr>
          <w:rFonts w:hint="eastAsia" w:ascii="仿宋_GB2312" w:eastAsia="仿宋_GB2312"/>
          <w:sz w:val="32"/>
          <w:szCs w:val="32"/>
        </w:rPr>
        <w:t>成立18家企业创新服务中心</w:t>
      </w:r>
      <w:r>
        <w:rPr>
          <w:rFonts w:hint="eastAsia" w:ascii="仿宋_GB2312" w:hAnsi="黑体" w:eastAsia="仿宋_GB2312"/>
          <w:sz w:val="32"/>
          <w:szCs w:val="32"/>
        </w:rPr>
        <w:t>，与世界工程师联盟、亚太工程组织联合会以及36个国家和地区工程师组织深化合作，为首都工程技术人才融入全球科技创新合作搭建桥梁。</w:t>
      </w:r>
      <w:r>
        <w:rPr>
          <w:rFonts w:hint="eastAsia" w:ascii="仿宋_GB2312" w:hAnsi="黑体" w:eastAsia="仿宋_GB2312"/>
          <w:b/>
          <w:bCs/>
          <w:sz w:val="32"/>
          <w:szCs w:val="32"/>
        </w:rPr>
        <w:t>科技科普助力实现乡村振兴，</w:t>
      </w:r>
      <w:r>
        <w:rPr>
          <w:rFonts w:hint="eastAsia" w:ascii="仿宋_GB2312" w:hAnsi="黑体" w:eastAsia="仿宋_GB2312"/>
          <w:sz w:val="32"/>
          <w:szCs w:val="32"/>
        </w:rPr>
        <w:t>全年</w:t>
      </w:r>
      <w:r>
        <w:rPr>
          <w:rFonts w:hint="eastAsia" w:ascii="仿宋_GB2312" w:hAnsi="仿宋_GB2312" w:eastAsia="仿宋_GB2312" w:cs="仿宋_GB2312"/>
          <w:sz w:val="32"/>
          <w:szCs w:val="32"/>
        </w:rPr>
        <w:t>组织科技工作者千余人次</w:t>
      </w:r>
      <w:r>
        <w:rPr>
          <w:rFonts w:hint="eastAsia" w:ascii="仿宋_GB2312" w:eastAsia="仿宋_GB2312"/>
          <w:sz w:val="32"/>
          <w:szCs w:val="32"/>
        </w:rPr>
        <w:t>开展各类科技服务活动</w:t>
      </w:r>
      <w:r>
        <w:rPr>
          <w:rFonts w:hint="eastAsia" w:ascii="仿宋_GB2312" w:hAnsi="仿宋_GB2312" w:eastAsia="仿宋_GB2312" w:cs="仿宋_GB2312"/>
          <w:sz w:val="32"/>
          <w:szCs w:val="32"/>
        </w:rPr>
        <w:t>，为经济薄弱村、农村专业合作社引进“矮化密植樱桃”等新优特蔬菜、水果、花卉、中药材200余种，</w:t>
      </w:r>
      <w:r>
        <w:rPr>
          <w:rFonts w:hint="eastAsia" w:ascii="仿宋_GB2312" w:eastAsia="仿宋_GB2312"/>
          <w:sz w:val="32"/>
          <w:szCs w:val="32"/>
        </w:rPr>
        <w:t>直接受益农民达1.1万人次。以“科技小院+学会/协会+企业+农民集体经济合作社”模式，在科技小院促成22个合作项目，拓宽小院产品销路，提高农民经济收入。开展北京市新时代文明实践基层科普行动，实施基层科普品牌活动支持计划、科技科普服务支持行动计划、科普惠农兴村计划，开展基层科普活动，受众1.2万余人次。</w:t>
      </w:r>
    </w:p>
    <w:p>
      <w:pPr>
        <w:adjustRightInd w:val="0"/>
        <w:snapToGrid w:val="0"/>
        <w:spacing w:line="360" w:lineRule="auto"/>
        <w:ind w:firstLine="643" w:firstLineChars="200"/>
        <w:rPr>
          <w:rFonts w:ascii="仿宋_GB2312" w:hAnsi="黑体" w:eastAsia="仿宋_GB2312" w:cs="方正黑体_GBK"/>
          <w:b/>
          <w:bCs/>
          <w:sz w:val="32"/>
          <w:szCs w:val="32"/>
        </w:rPr>
      </w:pPr>
      <w:r>
        <w:rPr>
          <w:rFonts w:hint="eastAsia" w:ascii="仿宋_GB2312" w:hAnsi="黑体" w:eastAsia="仿宋_GB2312" w:cs="方正黑体_GBK"/>
          <w:b/>
          <w:bCs/>
          <w:sz w:val="32"/>
          <w:szCs w:val="32"/>
        </w:rPr>
        <w:t>（3）加强顶层谋划，推动首都公民科学素质</w:t>
      </w:r>
    </w:p>
    <w:p>
      <w:pPr>
        <w:adjustRightInd w:val="0"/>
        <w:snapToGrid w:val="0"/>
        <w:spacing w:line="360" w:lineRule="auto"/>
        <w:ind w:firstLine="643" w:firstLineChars="200"/>
        <w:rPr>
          <w:rFonts w:ascii="仿宋_GB2312" w:eastAsia="仿宋_GB2312"/>
          <w:sz w:val="32"/>
          <w:szCs w:val="32"/>
        </w:rPr>
      </w:pPr>
      <w:r>
        <w:rPr>
          <w:rFonts w:hint="eastAsia" w:ascii="仿宋_GB2312" w:hAnsi="Calibri" w:eastAsia="仿宋_GB2312"/>
          <w:b/>
          <w:bCs/>
          <w:sz w:val="32"/>
          <w:szCs w:val="32"/>
        </w:rPr>
        <w:t>推进首都公民科学素质建设，</w:t>
      </w:r>
      <w:r>
        <w:rPr>
          <w:rFonts w:hint="eastAsia" w:ascii="仿宋_GB2312" w:hAnsi="Calibri" w:eastAsia="仿宋_GB2312"/>
          <w:sz w:val="32"/>
          <w:szCs w:val="32"/>
        </w:rPr>
        <w:t>举办北京市全民科学素质大赛，累计线上注册人数超过156万人，传播量近2500万人次。推动《北京科学技术普及条例》纳入市人大常委会立法调研项目，为推动科普事业发展提供法治保障。中国科协第11次中国公民科学素质抽样调查结果显示，北京公民具备科学素质比例达到24.07%，在全国名列前茅，圆满完成“十三五”时期提出的发展指标，其中海淀区以31%在全国地市级区域位居首位。</w:t>
      </w:r>
      <w:r>
        <w:rPr>
          <w:rFonts w:hint="eastAsia" w:ascii="仿宋_GB2312" w:eastAsia="仿宋_GB2312"/>
          <w:b/>
          <w:bCs/>
          <w:sz w:val="32"/>
          <w:szCs w:val="32"/>
        </w:rPr>
        <w:t>打造首都科普新名片</w:t>
      </w:r>
      <w:r>
        <w:rPr>
          <w:rFonts w:hint="eastAsia" w:ascii="仿宋_GB2312" w:eastAsia="仿宋_GB2312"/>
          <w:sz w:val="32"/>
          <w:szCs w:val="32"/>
        </w:rPr>
        <w:t>，举办第11届北京科学嘉年华，900余万人次线上线下参与。举办2022科学跨年系列活动，苏东林等11位院士专家讲述科技创新、自立自强故事，全网直播点击量达634万人次，微博话题阅读量达5500余万次。举办以“智行万里”为主题的2021年首都科技创新成果展，展示60余家高新技术企业、高校、科研院所推送的55项创新成果，展厅接待公众6万余人次。</w:t>
      </w:r>
      <w:r>
        <w:rPr>
          <w:rFonts w:hint="eastAsia" w:ascii="仿宋_GB2312" w:hAnsi="黑体" w:eastAsia="仿宋_GB2312" w:cs="方正黑体_GBK"/>
          <w:b/>
          <w:bCs/>
          <w:sz w:val="32"/>
          <w:szCs w:val="32"/>
        </w:rPr>
        <w:t>构建社会化科普格局</w:t>
      </w:r>
      <w:r>
        <w:rPr>
          <w:rFonts w:hint="eastAsia" w:ascii="仿宋_GB2312" w:hAnsi="黑体" w:eastAsia="仿宋_GB2312" w:cs="方正黑体_GBK"/>
          <w:sz w:val="32"/>
          <w:szCs w:val="32"/>
        </w:rPr>
        <w:t>，聚焦</w:t>
      </w:r>
      <w:r>
        <w:rPr>
          <w:rFonts w:hint="eastAsia" w:ascii="仿宋_GB2312" w:eastAsia="仿宋_GB2312"/>
          <w:sz w:val="32"/>
          <w:szCs w:val="32"/>
        </w:rPr>
        <w:t>综合性国家科学中心、数字经济、自贸区建设</w:t>
      </w:r>
      <w:r>
        <w:rPr>
          <w:rFonts w:ascii="仿宋_GB2312" w:eastAsia="仿宋_GB2312"/>
          <w:sz w:val="32"/>
          <w:szCs w:val="32"/>
        </w:rPr>
        <w:t>、</w:t>
      </w:r>
      <w:r>
        <w:rPr>
          <w:rFonts w:hint="eastAsia" w:ascii="仿宋_GB2312" w:eastAsia="仿宋_GB2312"/>
          <w:sz w:val="32"/>
          <w:szCs w:val="32"/>
        </w:rPr>
        <w:t>京津冀协同等</w:t>
      </w:r>
      <w:r>
        <w:rPr>
          <w:rFonts w:hint="eastAsia" w:ascii="仿宋_GB2312" w:hAnsi="黑体" w:eastAsia="仿宋_GB2312" w:cs="方正黑体_GBK"/>
          <w:sz w:val="32"/>
          <w:szCs w:val="32"/>
        </w:rPr>
        <w:t>主题，开展重点调研课题研究3个；举办10期主题决策咨询沙龙，近200位科技专家围绕首都高质量发展建言献策。</w:t>
      </w:r>
      <w:r>
        <w:rPr>
          <w:rFonts w:hint="eastAsia" w:ascii="仿宋_GB2312" w:eastAsia="仿宋_GB2312"/>
          <w:sz w:val="32"/>
          <w:szCs w:val="32"/>
        </w:rPr>
        <w:t>3000多名科技工作者参与“2021北京科技工作者思想状况调查</w:t>
      </w:r>
      <w:r>
        <w:rPr>
          <w:rFonts w:ascii="仿宋_GB2312" w:eastAsia="仿宋_GB2312"/>
          <w:sz w:val="32"/>
          <w:szCs w:val="32"/>
        </w:rPr>
        <w:t>”</w:t>
      </w:r>
      <w:r>
        <w:rPr>
          <w:rFonts w:hint="eastAsia" w:ascii="仿宋_GB2312" w:eastAsia="仿宋_GB2312"/>
          <w:sz w:val="32"/>
          <w:szCs w:val="32"/>
        </w:rPr>
        <w:t>“北京科技工作者关于十九届六中全会反响情况”等4次大型问卷调查。</w:t>
      </w:r>
    </w:p>
    <w:p>
      <w:pPr>
        <w:adjustRightInd w:val="0"/>
        <w:snapToGrid w:val="0"/>
        <w:spacing w:line="360" w:lineRule="auto"/>
        <w:ind w:firstLine="640" w:firstLineChars="20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adjustRightInd w:val="0"/>
        <w:snapToGrid w:val="0"/>
        <w:spacing w:line="360" w:lineRule="auto"/>
        <w:ind w:firstLine="640" w:firstLineChars="200"/>
        <w:rPr>
          <w:rFonts w:ascii="仿宋_GB2312" w:hAnsi="黑体" w:eastAsia="仿宋_GB2312"/>
          <w:sz w:val="32"/>
          <w:szCs w:val="32"/>
        </w:rPr>
      </w:pPr>
      <w:r>
        <w:rPr>
          <w:rFonts w:hint="eastAsia" w:ascii="仿宋_GB2312" w:hAnsi="宋体" w:eastAsia="仿宋_GB2312" w:cs="宋体"/>
          <w:color w:val="000000"/>
          <w:kern w:val="0"/>
          <w:sz w:val="32"/>
          <w:szCs w:val="32"/>
        </w:rPr>
        <w:t>一是市科协积极履职“四服务、一加强”等相关工作，致力于</w:t>
      </w:r>
      <w:r>
        <w:rPr>
          <w:rFonts w:hint="eastAsia" w:ascii="仿宋_GB2312" w:hAnsi="黑体" w:eastAsia="仿宋_GB2312"/>
          <w:sz w:val="32"/>
          <w:szCs w:val="32"/>
        </w:rPr>
        <w:t>大力弘扬科学家精神，努力把广大科技工作者紧密地团结在党的周围。</w:t>
      </w:r>
      <w:r>
        <w:rPr>
          <w:rStyle w:val="31"/>
          <w:rFonts w:hint="eastAsia" w:ascii="仿宋_GB2312" w:eastAsia="仿宋_GB2312"/>
          <w:sz w:val="32"/>
          <w:szCs w:val="32"/>
        </w:rPr>
        <w:t>开展“全国科技工作者日”主题活动75项，集中</w:t>
      </w:r>
      <w:r>
        <w:rPr>
          <w:rFonts w:hint="eastAsia" w:ascii="仿宋_GB2312" w:eastAsia="仿宋_GB2312"/>
          <w:kern w:val="32"/>
          <w:sz w:val="32"/>
          <w:szCs w:val="32"/>
        </w:rPr>
        <w:t>展示新时期科技工作者刻苦钻研、勇于创新的精神。</w:t>
      </w:r>
      <w:r>
        <w:rPr>
          <w:rStyle w:val="31"/>
          <w:rFonts w:hint="eastAsia" w:ascii="仿宋_GB2312" w:eastAsia="仿宋_GB2312"/>
          <w:sz w:val="32"/>
          <w:szCs w:val="32"/>
        </w:rPr>
        <w:t>优秀科技人物宣传、学术成果报告会、国际学术沙龙系列活动、“科学与中国”主题科普讲座等活动入选中国科协特色亮点活动</w:t>
      </w:r>
      <w:r>
        <w:rPr>
          <w:rFonts w:hint="eastAsia" w:ascii="仿宋_GB2312" w:eastAsia="仿宋_GB2312"/>
          <w:kern w:val="32"/>
          <w:sz w:val="32"/>
          <w:szCs w:val="32"/>
        </w:rPr>
        <w:t>。</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二是市科协推进北京科学中心“1+16+N”体系建设，8个区推荐18家社会单位加入体系，汇集优质科普资源，建立校内外科学教育资源有效衔接机制，服务“双减”政策落地，推动形成全社会共同参与全民科学素质建设的良好氛围。</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eastAsia="仿宋_GB2312"/>
          <w:sz w:val="32"/>
          <w:szCs w:val="32"/>
        </w:rPr>
        <w:t>三是市科协2021年通过各渠道向各级党委政府报送决策咨询建议150余篇，50余篇被批示、采纳或答复，其中“利用数字经济和技术优势加快推进我市红色资源数字化保护利用”等9篇被北京市主要领导批示。</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整体上，市科协2</w:t>
      </w:r>
      <w:r>
        <w:rPr>
          <w:rFonts w:ascii="仿宋_GB2312" w:hAnsi="宋体" w:eastAsia="仿宋_GB2312" w:cs="宋体"/>
          <w:color w:val="000000"/>
          <w:kern w:val="0"/>
          <w:sz w:val="32"/>
          <w:szCs w:val="32"/>
        </w:rPr>
        <w:t>021</w:t>
      </w:r>
      <w:r>
        <w:rPr>
          <w:rFonts w:hint="eastAsia" w:ascii="仿宋_GB2312" w:hAnsi="宋体" w:eastAsia="仿宋_GB2312" w:cs="宋体"/>
          <w:color w:val="000000"/>
          <w:kern w:val="0"/>
          <w:sz w:val="32"/>
          <w:szCs w:val="32"/>
        </w:rPr>
        <w:t>年度各项任务产出质量整体较好。</w:t>
      </w:r>
    </w:p>
    <w:p>
      <w:pPr>
        <w:adjustRightInd w:val="0"/>
        <w:snapToGrid w:val="0"/>
        <w:spacing w:line="360" w:lineRule="auto"/>
        <w:ind w:firstLine="640" w:firstLineChars="200"/>
        <w:outlineLvl w:val="2"/>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w:t>
      </w:r>
      <w:r>
        <w:rPr>
          <w:rFonts w:ascii="仿宋_GB2312" w:hAnsi="宋体" w:eastAsia="仿宋_GB2312" w:cs="宋体"/>
          <w:color w:val="000000"/>
          <w:kern w:val="0"/>
          <w:sz w:val="32"/>
          <w:szCs w:val="32"/>
        </w:rPr>
        <w:t>021</w:t>
      </w:r>
      <w:r>
        <w:rPr>
          <w:rFonts w:hint="eastAsia" w:ascii="仿宋_GB2312" w:hAnsi="宋体" w:eastAsia="仿宋_GB2312" w:cs="宋体"/>
          <w:color w:val="000000"/>
          <w:kern w:val="0"/>
          <w:sz w:val="32"/>
          <w:szCs w:val="32"/>
        </w:rPr>
        <w:t>年度市科协重点工作及重点项目大部分能够按照预期计划序时推进，并在年底达成预期目标。但是，存在个别项目工作进展稍有滞后的情况，如，科协频道项目，受疫情持续影响，时效指标“科学健康人系列活动”于2022年3月6日完成；科技社团能力提升项目，进度指标“完成园区基础性服务”“完成企业需求对接会”时间为2022年1月13日，晚于年度指标值2021年12月底。另外，类似情况的还有“科协网站运行维护、网络安全升级和网络意识形态监测、青少年科技后备人才早期培养计划、青少年科学思想、科学方法教育与研究-北京科技教育创新研究院”等项目与预期计划相比略有延迟。</w:t>
      </w:r>
    </w:p>
    <w:p>
      <w:pPr>
        <w:adjustRightInd w:val="0"/>
        <w:snapToGrid w:val="0"/>
        <w:spacing w:line="360" w:lineRule="auto"/>
        <w:ind w:firstLine="640" w:firstLineChars="200"/>
        <w:outlineLvl w:val="2"/>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adjustRightInd w:val="0"/>
        <w:snapToGrid w:val="0"/>
        <w:spacing w:line="360" w:lineRule="auto"/>
        <w:ind w:firstLine="643" w:firstLineChars="200"/>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（1）单位产出节约情况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一是部门整体支出方面。市科协2</w:t>
      </w:r>
      <w:r>
        <w:rPr>
          <w:rFonts w:ascii="仿宋_GB2312" w:hAnsi="宋体" w:eastAsia="仿宋_GB2312" w:cs="宋体"/>
          <w:color w:val="000000"/>
          <w:kern w:val="0"/>
          <w:sz w:val="32"/>
          <w:szCs w:val="32"/>
        </w:rPr>
        <w:t>021</w:t>
      </w:r>
      <w:r>
        <w:rPr>
          <w:rFonts w:hint="eastAsia" w:ascii="仿宋_GB2312" w:hAnsi="宋体" w:eastAsia="仿宋_GB2312" w:cs="宋体"/>
          <w:color w:val="000000"/>
          <w:kern w:val="0"/>
          <w:sz w:val="32"/>
          <w:szCs w:val="32"/>
        </w:rPr>
        <w:t>年</w:t>
      </w:r>
      <w:r>
        <w:rPr>
          <w:rFonts w:hint="eastAsia" w:ascii="仿宋_GB2312" w:hAnsi="宋体" w:eastAsia="仿宋_GB2312" w:cs="宋体"/>
          <w:kern w:val="0"/>
          <w:sz w:val="32"/>
          <w:szCs w:val="32"/>
        </w:rPr>
        <w:t>全年</w:t>
      </w:r>
      <w:r>
        <w:rPr>
          <w:rFonts w:ascii="仿宋_GB2312" w:hAnsi="宋体" w:eastAsia="仿宋_GB2312" w:cs="宋体"/>
          <w:kern w:val="0"/>
          <w:sz w:val="32"/>
          <w:szCs w:val="32"/>
        </w:rPr>
        <w:t>总体</w:t>
      </w:r>
      <w:r>
        <w:rPr>
          <w:rFonts w:hint="eastAsia" w:ascii="仿宋_GB2312" w:hAnsi="宋体" w:eastAsia="仿宋_GB2312" w:cs="宋体"/>
          <w:kern w:val="0"/>
          <w:sz w:val="32"/>
          <w:szCs w:val="32"/>
        </w:rPr>
        <w:t>支出</w:t>
      </w:r>
      <w:r>
        <w:rPr>
          <w:rFonts w:ascii="仿宋_GB2312" w:hAnsi="宋体" w:eastAsia="仿宋_GB2312" w:cs="宋体"/>
          <w:kern w:val="0"/>
          <w:sz w:val="32"/>
          <w:szCs w:val="32"/>
        </w:rPr>
        <w:t>37,259.752792</w:t>
      </w:r>
      <w:r>
        <w:rPr>
          <w:rFonts w:hint="eastAsia" w:ascii="仿宋_GB2312" w:hAnsi="宋体" w:eastAsia="仿宋_GB2312" w:cs="宋体"/>
          <w:kern w:val="0"/>
          <w:sz w:val="32"/>
          <w:szCs w:val="32"/>
        </w:rPr>
        <w:t>万元，较</w:t>
      </w:r>
      <w:r>
        <w:rPr>
          <w:rFonts w:hint="eastAsia" w:ascii="仿宋_GB2312" w:hAnsi="宋体" w:eastAsia="仿宋_GB2312" w:cs="宋体"/>
          <w:color w:val="000000"/>
          <w:kern w:val="0"/>
          <w:sz w:val="32"/>
          <w:szCs w:val="32"/>
        </w:rPr>
        <w:t>2020年总支出</w:t>
      </w:r>
      <w:r>
        <w:rPr>
          <w:rFonts w:ascii="仿宋_GB2312" w:hAnsi="宋体" w:eastAsia="仿宋_GB2312" w:cs="宋体"/>
          <w:color w:val="000000"/>
          <w:kern w:val="0"/>
          <w:sz w:val="32"/>
          <w:szCs w:val="32"/>
        </w:rPr>
        <w:t>34,037.276757</w:t>
      </w:r>
      <w:r>
        <w:rPr>
          <w:rFonts w:hint="eastAsia" w:ascii="仿宋_GB2312" w:hAnsi="宋体" w:eastAsia="仿宋_GB2312" w:cs="宋体"/>
          <w:color w:val="000000"/>
          <w:kern w:val="0"/>
          <w:sz w:val="32"/>
          <w:szCs w:val="32"/>
        </w:rPr>
        <w:t>万元，增加</w:t>
      </w:r>
      <w:r>
        <w:rPr>
          <w:rFonts w:ascii="仿宋_GB2312" w:hAnsi="宋体" w:eastAsia="仿宋_GB2312" w:cs="宋体"/>
          <w:color w:val="000000"/>
          <w:kern w:val="0"/>
          <w:sz w:val="32"/>
          <w:szCs w:val="32"/>
        </w:rPr>
        <w:t>3,222.476035</w:t>
      </w:r>
      <w:r>
        <w:rPr>
          <w:rFonts w:hint="eastAsia" w:ascii="仿宋_GB2312" w:hAnsi="宋体" w:eastAsia="仿宋_GB2312" w:cs="宋体"/>
          <w:color w:val="000000"/>
          <w:kern w:val="0"/>
          <w:sz w:val="32"/>
          <w:szCs w:val="32"/>
        </w:rPr>
        <w:t>万元，增长</w:t>
      </w:r>
      <w:r>
        <w:rPr>
          <w:rFonts w:ascii="仿宋_GB2312" w:hAnsi="宋体" w:eastAsia="仿宋_GB2312" w:cs="宋体"/>
          <w:color w:val="000000"/>
          <w:kern w:val="0"/>
          <w:sz w:val="32"/>
          <w:szCs w:val="32"/>
        </w:rPr>
        <w:t>9.47</w:t>
      </w:r>
      <w:r>
        <w:rPr>
          <w:rFonts w:hint="eastAsia" w:ascii="仿宋_GB2312" w:hAnsi="宋体" w:eastAsia="仿宋_GB2312" w:cs="宋体"/>
          <w:color w:val="000000"/>
          <w:kern w:val="0"/>
          <w:sz w:val="32"/>
          <w:szCs w:val="32"/>
        </w:rPr>
        <w:t>%。</w:t>
      </w:r>
    </w:p>
    <w:p>
      <w:pPr>
        <w:adjustRightInd w:val="0"/>
        <w:snapToGrid w:val="0"/>
        <w:spacing w:line="360" w:lineRule="auto"/>
        <w:ind w:firstLine="640" w:firstLineChars="200"/>
        <w:rPr>
          <w:rFonts w:ascii="仿宋_GB2312" w:hAnsi="宋体" w:eastAsia="仿宋_GB2312" w:cs="宋体"/>
          <w:kern w:val="0"/>
          <w:sz w:val="32"/>
          <w:szCs w:val="32"/>
        </w:rPr>
      </w:pPr>
      <w:r>
        <w:rPr>
          <w:rFonts w:hint="eastAsia" w:ascii="仿宋_GB2312" w:hAnsi="宋体" w:eastAsia="仿宋_GB2312" w:cs="宋体"/>
          <w:color w:val="000000"/>
          <w:kern w:val="0"/>
          <w:sz w:val="32"/>
          <w:szCs w:val="32"/>
        </w:rPr>
        <w:t>二是</w:t>
      </w:r>
      <w:r>
        <w:rPr>
          <w:rFonts w:hint="eastAsia" w:ascii="仿宋_GB2312" w:hAnsi="仿宋" w:eastAsia="仿宋_GB2312"/>
          <w:sz w:val="32"/>
          <w:szCs w:val="32"/>
        </w:rPr>
        <w:t>基本</w:t>
      </w:r>
      <w:r>
        <w:rPr>
          <w:rFonts w:hint="eastAsia" w:ascii="仿宋_GB2312" w:hAnsi="宋体" w:eastAsia="仿宋_GB2312" w:cs="宋体"/>
          <w:color w:val="000000"/>
          <w:kern w:val="0"/>
          <w:sz w:val="32"/>
          <w:szCs w:val="32"/>
        </w:rPr>
        <w:t>支出方面。市科协</w:t>
      </w:r>
      <w:r>
        <w:rPr>
          <w:rFonts w:hint="eastAsia" w:ascii="仿宋_GB2312" w:hAnsi="宋体" w:eastAsia="仿宋_GB2312" w:cs="宋体"/>
          <w:kern w:val="0"/>
          <w:sz w:val="32"/>
          <w:szCs w:val="32"/>
        </w:rPr>
        <w:t>2</w:t>
      </w:r>
      <w:r>
        <w:rPr>
          <w:rFonts w:ascii="仿宋_GB2312" w:hAnsi="宋体" w:eastAsia="仿宋_GB2312" w:cs="宋体"/>
          <w:kern w:val="0"/>
          <w:sz w:val="32"/>
          <w:szCs w:val="32"/>
        </w:rPr>
        <w:t>021</w:t>
      </w:r>
      <w:r>
        <w:rPr>
          <w:rFonts w:hint="eastAsia" w:ascii="仿宋_GB2312" w:hAnsi="宋体" w:eastAsia="仿宋_GB2312" w:cs="宋体"/>
          <w:kern w:val="0"/>
          <w:sz w:val="32"/>
          <w:szCs w:val="32"/>
        </w:rPr>
        <w:t>年</w:t>
      </w:r>
      <w:r>
        <w:rPr>
          <w:rFonts w:ascii="仿宋_GB2312" w:hAnsi="宋体" w:eastAsia="仿宋_GB2312" w:cs="宋体"/>
          <w:kern w:val="0"/>
          <w:sz w:val="32"/>
          <w:szCs w:val="32"/>
        </w:rPr>
        <w:t>基本</w:t>
      </w:r>
      <w:r>
        <w:rPr>
          <w:rFonts w:hint="eastAsia" w:ascii="仿宋_GB2312" w:hAnsi="宋体" w:eastAsia="仿宋_GB2312" w:cs="宋体"/>
          <w:kern w:val="0"/>
          <w:sz w:val="32"/>
          <w:szCs w:val="32"/>
        </w:rPr>
        <w:t>支出决算数为</w:t>
      </w:r>
      <w:r>
        <w:rPr>
          <w:rFonts w:ascii="仿宋_GB2312" w:hAnsi="宋体" w:eastAsia="仿宋_GB2312" w:cs="宋体"/>
          <w:kern w:val="0"/>
          <w:sz w:val="32"/>
          <w:szCs w:val="32"/>
        </w:rPr>
        <w:t>15</w:t>
      </w:r>
      <w:r>
        <w:rPr>
          <w:rFonts w:ascii="仿宋_GB2312" w:hAnsi="宋体" w:eastAsia="仿宋_GB2312" w:cs="宋体"/>
          <w:color w:val="000000"/>
          <w:kern w:val="0"/>
          <w:sz w:val="32"/>
          <w:szCs w:val="32"/>
        </w:rPr>
        <w:t>,</w:t>
      </w:r>
      <w:r>
        <w:rPr>
          <w:rFonts w:ascii="仿宋_GB2312" w:hAnsi="宋体" w:eastAsia="仿宋_GB2312" w:cs="宋体"/>
          <w:kern w:val="0"/>
          <w:sz w:val="32"/>
          <w:szCs w:val="32"/>
        </w:rPr>
        <w:t>343.090674万元</w:t>
      </w:r>
      <w:r>
        <w:rPr>
          <w:rFonts w:hint="eastAsia" w:ascii="仿宋_GB2312" w:hAnsi="宋体" w:eastAsia="仿宋_GB2312" w:cs="宋体"/>
          <w:kern w:val="0"/>
          <w:sz w:val="32"/>
          <w:szCs w:val="32"/>
        </w:rPr>
        <w:t>，较2</w:t>
      </w:r>
      <w:r>
        <w:rPr>
          <w:rFonts w:ascii="仿宋_GB2312" w:hAnsi="宋体" w:eastAsia="仿宋_GB2312" w:cs="宋体"/>
          <w:kern w:val="0"/>
          <w:sz w:val="32"/>
          <w:szCs w:val="32"/>
        </w:rPr>
        <w:t>020</w:t>
      </w:r>
      <w:r>
        <w:rPr>
          <w:rFonts w:hint="eastAsia" w:ascii="仿宋_GB2312" w:hAnsi="宋体" w:eastAsia="仿宋_GB2312" w:cs="宋体"/>
          <w:kern w:val="0"/>
          <w:sz w:val="32"/>
          <w:szCs w:val="32"/>
        </w:rPr>
        <w:t>年度</w:t>
      </w:r>
      <w:r>
        <w:rPr>
          <w:rFonts w:hint="eastAsia" w:ascii="仿宋_GB2312" w:hAnsi="宋体" w:eastAsia="仿宋_GB2312" w:cs="宋体"/>
          <w:color w:val="000000"/>
          <w:kern w:val="0"/>
          <w:sz w:val="32"/>
          <w:szCs w:val="32"/>
        </w:rPr>
        <w:t>基本支出14</w:t>
      </w:r>
      <w:r>
        <w:rPr>
          <w:rFonts w:ascii="仿宋_GB2312" w:hAnsi="宋体" w:eastAsia="仿宋_GB2312" w:cs="宋体"/>
          <w:kern w:val="0"/>
          <w:sz w:val="32"/>
          <w:szCs w:val="32"/>
        </w:rPr>
        <w:t>,</w:t>
      </w:r>
      <w:r>
        <w:rPr>
          <w:rFonts w:hint="eastAsia" w:ascii="仿宋_GB2312" w:hAnsi="宋体" w:eastAsia="仿宋_GB2312" w:cs="宋体"/>
          <w:color w:val="000000"/>
          <w:kern w:val="0"/>
          <w:sz w:val="32"/>
          <w:szCs w:val="32"/>
        </w:rPr>
        <w:t>827.45</w:t>
      </w:r>
      <w:r>
        <w:rPr>
          <w:rFonts w:ascii="仿宋_GB2312" w:hAnsi="宋体" w:eastAsia="仿宋_GB2312" w:cs="宋体"/>
          <w:kern w:val="0"/>
          <w:sz w:val="32"/>
          <w:szCs w:val="32"/>
        </w:rPr>
        <w:t>9005</w:t>
      </w:r>
      <w:r>
        <w:rPr>
          <w:rFonts w:hint="eastAsia" w:ascii="仿宋_GB2312" w:hAnsi="宋体" w:eastAsia="仿宋_GB2312" w:cs="宋体"/>
          <w:color w:val="000000"/>
          <w:kern w:val="0"/>
          <w:sz w:val="32"/>
          <w:szCs w:val="32"/>
        </w:rPr>
        <w:t>万元增加</w:t>
      </w:r>
      <w:r>
        <w:rPr>
          <w:rFonts w:ascii="仿宋_GB2312" w:hAnsi="宋体" w:eastAsia="仿宋_GB2312" w:cs="宋体"/>
          <w:kern w:val="0"/>
          <w:sz w:val="32"/>
          <w:szCs w:val="32"/>
        </w:rPr>
        <w:t>515.631669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3.48</w:t>
      </w:r>
      <w:r>
        <w:rPr>
          <w:rFonts w:hint="eastAsia" w:ascii="仿宋_GB2312" w:hAnsi="宋体" w:eastAsia="仿宋_GB2312" w:cs="宋体"/>
          <w:kern w:val="0"/>
          <w:sz w:val="32"/>
          <w:szCs w:val="32"/>
        </w:rPr>
        <w:t>%。主要是人员经费中社会保险基数增长。</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三是</w:t>
      </w:r>
      <w:r>
        <w:rPr>
          <w:rFonts w:hint="eastAsia" w:ascii="仿宋_GB2312" w:hAnsi="仿宋" w:eastAsia="仿宋_GB2312"/>
          <w:sz w:val="32"/>
          <w:szCs w:val="32"/>
        </w:rPr>
        <w:t>项目</w:t>
      </w:r>
      <w:r>
        <w:rPr>
          <w:rFonts w:hint="eastAsia" w:ascii="仿宋_GB2312" w:hAnsi="宋体" w:eastAsia="仿宋_GB2312" w:cs="宋体"/>
          <w:color w:val="000000"/>
          <w:kern w:val="0"/>
          <w:sz w:val="32"/>
          <w:szCs w:val="32"/>
        </w:rPr>
        <w:t>支出方面。市科协</w:t>
      </w:r>
      <w:r>
        <w:rPr>
          <w:rFonts w:hint="eastAsia" w:ascii="仿宋_GB2312" w:hAnsi="宋体" w:eastAsia="仿宋_GB2312" w:cs="宋体"/>
          <w:kern w:val="0"/>
          <w:sz w:val="32"/>
          <w:szCs w:val="32"/>
        </w:rPr>
        <w:t>2</w:t>
      </w:r>
      <w:r>
        <w:rPr>
          <w:rFonts w:ascii="仿宋_GB2312" w:hAnsi="宋体" w:eastAsia="仿宋_GB2312" w:cs="宋体"/>
          <w:kern w:val="0"/>
          <w:sz w:val="32"/>
          <w:szCs w:val="32"/>
        </w:rPr>
        <w:t>021</w:t>
      </w:r>
      <w:r>
        <w:rPr>
          <w:rFonts w:hint="eastAsia" w:ascii="仿宋_GB2312" w:hAnsi="宋体" w:eastAsia="仿宋_GB2312" w:cs="宋体"/>
          <w:kern w:val="0"/>
          <w:sz w:val="32"/>
          <w:szCs w:val="32"/>
        </w:rPr>
        <w:t>年项目支出决算数为</w:t>
      </w:r>
      <w:r>
        <w:rPr>
          <w:rFonts w:ascii="仿宋_GB2312" w:hAnsi="宋体" w:eastAsia="仿宋_GB2312" w:cs="宋体"/>
          <w:kern w:val="0"/>
          <w:sz w:val="32"/>
          <w:szCs w:val="32"/>
        </w:rPr>
        <w:t>21</w:t>
      </w:r>
      <w:r>
        <w:rPr>
          <w:rFonts w:ascii="仿宋_GB2312" w:hAnsi="宋体" w:eastAsia="仿宋_GB2312" w:cs="宋体"/>
          <w:color w:val="000000"/>
          <w:kern w:val="0"/>
          <w:sz w:val="32"/>
          <w:szCs w:val="32"/>
        </w:rPr>
        <w:t>,</w:t>
      </w:r>
      <w:r>
        <w:rPr>
          <w:rFonts w:ascii="仿宋_GB2312" w:hAnsi="宋体" w:eastAsia="仿宋_GB2312" w:cs="宋体"/>
          <w:kern w:val="0"/>
          <w:sz w:val="32"/>
          <w:szCs w:val="32"/>
        </w:rPr>
        <w:t>916.662118万元</w:t>
      </w:r>
      <w:r>
        <w:rPr>
          <w:rFonts w:hint="eastAsia" w:ascii="仿宋_GB2312" w:hAnsi="宋体" w:eastAsia="仿宋_GB2312" w:cs="宋体"/>
          <w:kern w:val="0"/>
          <w:sz w:val="32"/>
          <w:szCs w:val="32"/>
        </w:rPr>
        <w:t>，较</w:t>
      </w:r>
      <w:r>
        <w:rPr>
          <w:rFonts w:hint="eastAsia" w:ascii="仿宋_GB2312" w:hAnsi="宋体" w:eastAsia="仿宋_GB2312" w:cs="宋体"/>
          <w:color w:val="000000"/>
          <w:kern w:val="0"/>
          <w:sz w:val="32"/>
          <w:szCs w:val="32"/>
        </w:rPr>
        <w:t>2020年度项目支出19</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209.8</w:t>
      </w:r>
      <w:r>
        <w:rPr>
          <w:rFonts w:ascii="仿宋_GB2312" w:hAnsi="宋体" w:eastAsia="仿宋_GB2312" w:cs="宋体"/>
          <w:color w:val="000000"/>
          <w:kern w:val="0"/>
          <w:sz w:val="32"/>
          <w:szCs w:val="32"/>
        </w:rPr>
        <w:t>17752</w:t>
      </w:r>
      <w:r>
        <w:rPr>
          <w:rFonts w:hint="eastAsia" w:ascii="仿宋_GB2312" w:hAnsi="宋体" w:eastAsia="仿宋_GB2312" w:cs="宋体"/>
          <w:color w:val="000000"/>
          <w:kern w:val="0"/>
          <w:sz w:val="32"/>
          <w:szCs w:val="32"/>
        </w:rPr>
        <w:t>万元，增加</w:t>
      </w:r>
      <w:r>
        <w:rPr>
          <w:rFonts w:ascii="仿宋_GB2312" w:hAnsi="宋体" w:eastAsia="仿宋_GB2312" w:cs="宋体"/>
          <w:color w:val="000000"/>
          <w:kern w:val="0"/>
          <w:sz w:val="32"/>
          <w:szCs w:val="32"/>
        </w:rPr>
        <w:t>2,706.844366</w:t>
      </w:r>
      <w:r>
        <w:rPr>
          <w:rFonts w:hint="eastAsia" w:ascii="仿宋_GB2312" w:hAnsi="宋体" w:eastAsia="仿宋_GB2312" w:cs="宋体"/>
          <w:color w:val="000000"/>
          <w:kern w:val="0"/>
          <w:sz w:val="32"/>
          <w:szCs w:val="32"/>
        </w:rPr>
        <w:t>万元，增长1</w:t>
      </w:r>
      <w:r>
        <w:rPr>
          <w:rFonts w:ascii="仿宋_GB2312" w:hAnsi="宋体" w:eastAsia="仿宋_GB2312" w:cs="宋体"/>
          <w:color w:val="000000"/>
          <w:kern w:val="0"/>
          <w:sz w:val="32"/>
          <w:szCs w:val="32"/>
        </w:rPr>
        <w:t>4.09</w:t>
      </w:r>
      <w:r>
        <w:rPr>
          <w:rFonts w:hint="eastAsia" w:ascii="仿宋_GB2312" w:hAnsi="宋体" w:eastAsia="仿宋_GB2312" w:cs="宋体"/>
          <w:color w:val="000000"/>
          <w:kern w:val="0"/>
          <w:sz w:val="32"/>
          <w:szCs w:val="32"/>
        </w:rPr>
        <w:t>%。主要是增加中央转移支付北京科学中心免费开放项目资金和市科协党校功能提升项目经费。</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综上，2</w:t>
      </w:r>
      <w:r>
        <w:rPr>
          <w:rFonts w:ascii="仿宋_GB2312" w:hAnsi="仿宋" w:eastAsia="仿宋_GB2312"/>
          <w:sz w:val="32"/>
          <w:szCs w:val="32"/>
        </w:rPr>
        <w:t>021</w:t>
      </w:r>
      <w:r>
        <w:rPr>
          <w:rFonts w:hint="eastAsia" w:ascii="仿宋_GB2312" w:hAnsi="仿宋" w:eastAsia="仿宋_GB2312"/>
          <w:sz w:val="32"/>
          <w:szCs w:val="32"/>
        </w:rPr>
        <w:t>年度从“部门整体支出、项目支出、基本支出”三方面看，市科协的成本整体呈增加趋势，成本管控措施有待加强。</w:t>
      </w:r>
    </w:p>
    <w:p>
      <w:pPr>
        <w:adjustRightInd w:val="0"/>
        <w:snapToGrid w:val="0"/>
        <w:spacing w:line="360" w:lineRule="auto"/>
        <w:ind w:firstLine="643" w:firstLineChars="200"/>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（2）部门公用经费控制情况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w:t>
      </w:r>
      <w:r>
        <w:rPr>
          <w:rFonts w:ascii="仿宋_GB2312" w:hAnsi="宋体" w:eastAsia="仿宋_GB2312" w:cs="宋体"/>
          <w:color w:val="000000"/>
          <w:kern w:val="0"/>
          <w:sz w:val="32"/>
          <w:szCs w:val="32"/>
        </w:rPr>
        <w:t>021</w:t>
      </w:r>
      <w:r>
        <w:rPr>
          <w:rFonts w:hint="eastAsia" w:ascii="仿宋_GB2312" w:hAnsi="宋体" w:eastAsia="仿宋_GB2312" w:cs="宋体"/>
          <w:color w:val="000000"/>
          <w:kern w:val="0"/>
          <w:sz w:val="32"/>
          <w:szCs w:val="32"/>
        </w:rPr>
        <w:t>年度，部门公用经费年初预算数</w:t>
      </w:r>
      <w:r>
        <w:rPr>
          <w:rFonts w:ascii="仿宋_GB2312" w:hAnsi="宋体" w:eastAsia="仿宋_GB2312" w:cs="宋体"/>
          <w:color w:val="000000"/>
          <w:kern w:val="0"/>
          <w:sz w:val="32"/>
          <w:szCs w:val="32"/>
        </w:rPr>
        <w:t>5,762.765297</w:t>
      </w:r>
      <w:r>
        <w:rPr>
          <w:rFonts w:hint="eastAsia" w:ascii="仿宋_GB2312" w:hAnsi="宋体" w:eastAsia="仿宋_GB2312" w:cs="宋体"/>
          <w:color w:val="000000"/>
          <w:kern w:val="0"/>
          <w:sz w:val="32"/>
          <w:szCs w:val="32"/>
        </w:rPr>
        <w:t>万元，决算数</w:t>
      </w:r>
      <w:r>
        <w:rPr>
          <w:rFonts w:ascii="仿宋_GB2312" w:hAnsi="宋体" w:eastAsia="仿宋_GB2312" w:cs="宋体"/>
          <w:color w:val="000000"/>
          <w:kern w:val="0"/>
          <w:sz w:val="32"/>
          <w:szCs w:val="32"/>
        </w:rPr>
        <w:t>5,524.889803</w:t>
      </w:r>
      <w:r>
        <w:rPr>
          <w:rFonts w:hint="eastAsia" w:ascii="仿宋_GB2312" w:hAnsi="宋体" w:eastAsia="仿宋_GB2312" w:cs="宋体"/>
          <w:color w:val="000000"/>
          <w:kern w:val="0"/>
          <w:sz w:val="32"/>
          <w:szCs w:val="32"/>
        </w:rPr>
        <w:t>万元，预算执行率为9</w:t>
      </w:r>
      <w:r>
        <w:rPr>
          <w:rFonts w:ascii="仿宋_GB2312" w:hAnsi="宋体" w:eastAsia="仿宋_GB2312" w:cs="宋体"/>
          <w:color w:val="000000"/>
          <w:kern w:val="0"/>
          <w:sz w:val="32"/>
          <w:szCs w:val="32"/>
        </w:rPr>
        <w:t>5.87</w:t>
      </w:r>
      <w:r>
        <w:rPr>
          <w:rFonts w:hint="eastAsia" w:ascii="仿宋_GB2312" w:hAnsi="宋体" w:eastAsia="仿宋_GB2312" w:cs="宋体"/>
          <w:color w:val="000000"/>
          <w:kern w:val="0"/>
          <w:sz w:val="32"/>
          <w:szCs w:val="32"/>
        </w:rPr>
        <w:t>%，结余</w:t>
      </w:r>
      <w:r>
        <w:rPr>
          <w:rFonts w:ascii="仿宋_GB2312" w:hAnsi="宋体" w:eastAsia="仿宋_GB2312" w:cs="宋体"/>
          <w:color w:val="000000"/>
          <w:kern w:val="0"/>
          <w:sz w:val="32"/>
          <w:szCs w:val="32"/>
        </w:rPr>
        <w:t>237.875494</w:t>
      </w:r>
      <w:r>
        <w:rPr>
          <w:rFonts w:hint="eastAsia" w:ascii="仿宋_GB2312" w:hAnsi="宋体" w:eastAsia="仿宋_GB2312" w:cs="宋体"/>
          <w:color w:val="000000"/>
          <w:kern w:val="0"/>
          <w:sz w:val="32"/>
          <w:szCs w:val="32"/>
        </w:rPr>
        <w:t>万元。产生结余的主要原因是按照过“紧日子”及防疫相关要求，压减一般性费用支出。市科协部门公用经费控制整体情况较好。</w:t>
      </w:r>
    </w:p>
    <w:p>
      <w:pPr>
        <w:adjustRightInd w:val="0"/>
        <w:snapToGrid w:val="0"/>
        <w:spacing w:line="360" w:lineRule="auto"/>
        <w:ind w:firstLine="640" w:firstLineChars="200"/>
        <w:outlineLvl w:val="1"/>
        <w:rPr>
          <w:rFonts w:ascii="楷体_GB2312" w:hAnsi="仿宋" w:eastAsia="楷体_GB2312"/>
          <w:sz w:val="32"/>
          <w:szCs w:val="32"/>
        </w:rPr>
      </w:pPr>
      <w:bookmarkStart w:id="12" w:name="_Toc103362019"/>
      <w:r>
        <w:rPr>
          <w:rFonts w:hint="eastAsia" w:ascii="楷体_GB2312" w:hAnsi="仿宋" w:eastAsia="楷体_GB2312"/>
          <w:sz w:val="32"/>
          <w:szCs w:val="32"/>
        </w:rPr>
        <w:t>（二）效果</w:t>
      </w:r>
      <w:r>
        <w:rPr>
          <w:rFonts w:ascii="楷体_GB2312" w:hAnsi="仿宋" w:eastAsia="楷体_GB2312"/>
          <w:sz w:val="32"/>
          <w:szCs w:val="32"/>
        </w:rPr>
        <w:t>实现情况分析</w:t>
      </w:r>
      <w:bookmarkEnd w:id="12"/>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2021年度市科协围绕“四服务、一加强”等方面开展相关工作，在团结首都广大科技工作者、建设国际科技创新中心、推动首都公民科学素质等方面取得了较好的效果，</w:t>
      </w:r>
      <w:r>
        <w:rPr>
          <w:rStyle w:val="31"/>
          <w:rFonts w:hint="eastAsia" w:ascii="仿宋_GB2312" w:eastAsia="仿宋_GB2312"/>
          <w:sz w:val="32"/>
          <w:szCs w:val="32"/>
        </w:rPr>
        <w:t>优秀科技人物宣传、学术成果报告会、国际学术沙龙系列活动、“科学与中国”主题科普讲座等活动入选中国科协特色亮点活动</w:t>
      </w:r>
      <w:r>
        <w:rPr>
          <w:rFonts w:hint="eastAsia" w:ascii="仿宋_GB2312" w:eastAsia="仿宋_GB2312"/>
          <w:kern w:val="32"/>
          <w:sz w:val="32"/>
          <w:szCs w:val="32"/>
        </w:rPr>
        <w:t>。</w:t>
      </w:r>
      <w:r>
        <w:rPr>
          <w:rFonts w:hint="eastAsia" w:ascii="仿宋_GB2312" w:eastAsia="仿宋_GB2312"/>
          <w:sz w:val="32"/>
          <w:szCs w:val="32"/>
        </w:rPr>
        <w:t>市科协2021年通过各渠道向各级党委政府报送决策咨询建议150余篇，50余篇被批示、采纳或答复，其中9篇获北京市主要领导批示。</w:t>
      </w:r>
      <w:r>
        <w:rPr>
          <w:rFonts w:hint="eastAsia" w:ascii="仿宋_GB2312" w:hAnsi="宋体" w:eastAsia="仿宋_GB2312" w:cs="宋体"/>
          <w:color w:val="000000"/>
          <w:kern w:val="0"/>
          <w:sz w:val="32"/>
          <w:szCs w:val="32"/>
        </w:rPr>
        <w:t>具体成效如下：</w:t>
      </w:r>
    </w:p>
    <w:p>
      <w:pPr>
        <w:adjustRightInd w:val="0"/>
        <w:snapToGrid w:val="0"/>
        <w:spacing w:line="360" w:lineRule="auto"/>
        <w:ind w:firstLine="640" w:firstLineChars="200"/>
        <w:outlineLvl w:val="2"/>
        <w:rPr>
          <w:rFonts w:ascii="仿宋_GB2312" w:hAnsi="仿宋" w:eastAsia="仿宋_GB2312"/>
          <w:sz w:val="32"/>
          <w:szCs w:val="32"/>
        </w:rPr>
      </w:pPr>
      <w:r>
        <w:rPr>
          <w:rFonts w:hint="eastAsia" w:ascii="仿宋_GB2312" w:hAnsi="宋体" w:eastAsia="仿宋_GB2312" w:cs="宋体"/>
          <w:color w:val="000000"/>
          <w:kern w:val="0"/>
          <w:sz w:val="32"/>
          <w:szCs w:val="32"/>
        </w:rPr>
        <w:t>1.</w:t>
      </w:r>
      <w:r>
        <w:rPr>
          <w:rFonts w:hint="eastAsia" w:ascii="仿宋_GB2312" w:hAnsi="仿宋" w:eastAsia="仿宋_GB2312"/>
          <w:sz w:val="32"/>
          <w:szCs w:val="32"/>
        </w:rPr>
        <w:t>社会效益</w:t>
      </w:r>
    </w:p>
    <w:p>
      <w:pPr>
        <w:adjustRightInd w:val="0"/>
        <w:snapToGrid w:val="0"/>
        <w:spacing w:line="360" w:lineRule="auto"/>
        <w:ind w:firstLine="643" w:firstLineChars="200"/>
        <w:rPr>
          <w:rFonts w:ascii="仿宋_GB2312" w:hAnsi="仿宋" w:eastAsia="仿宋_GB2312"/>
          <w:sz w:val="32"/>
          <w:szCs w:val="32"/>
        </w:rPr>
      </w:pPr>
      <w:r>
        <w:rPr>
          <w:rFonts w:hint="eastAsia" w:ascii="仿宋_GB2312" w:hAnsi="仿宋" w:eastAsia="仿宋_GB2312"/>
          <w:b/>
          <w:bCs/>
          <w:sz w:val="32"/>
          <w:szCs w:val="32"/>
        </w:rPr>
        <w:t>一是企业创新经济建设进一步增强。</w:t>
      </w:r>
      <w:r>
        <w:rPr>
          <w:rFonts w:hint="eastAsia" w:ascii="仿宋_GB2312" w:hAnsi="仿宋" w:eastAsia="仿宋_GB2312"/>
          <w:sz w:val="32"/>
          <w:szCs w:val="32"/>
        </w:rPr>
        <w:t>市科协组织实施的“面向中小企业技术转移转化服务促进”等重点项目，提出本年度2个重点布局领域——智能网联驾驶及出行技术、医工交叉创新技术，进一步遴选首都地区科技型中小企业，公开征集技术成果转化开发项目118项，最终确定12个优秀项目立项支持，</w:t>
      </w:r>
      <w:r>
        <w:rPr>
          <w:rFonts w:hint="eastAsia" w:ascii="仿宋_GB2312" w:hAnsi="CESI仿宋-GB2312" w:eastAsia="仿宋_GB2312" w:cs="CESI仿宋-GB2312"/>
          <w:sz w:val="32"/>
          <w:szCs w:val="32"/>
        </w:rPr>
        <w:t>围绕企业技术需求，征集企业技术需求百余条，开展精准挖掘对接活动13场。2021年度技术成果转化培育项目申报单位在市科协创新服务平台注册的企业占新增总数六成以上，其中重点布局技术领域首次注册企业数高达64.29%。通过一系列重点项目的推进，有效的宣传了科协服务企业，服务成果转化的相关工作。</w:t>
      </w:r>
    </w:p>
    <w:p>
      <w:pPr>
        <w:adjustRightInd w:val="0"/>
        <w:snapToGrid w:val="0"/>
        <w:spacing w:line="360" w:lineRule="auto"/>
        <w:ind w:firstLine="643" w:firstLineChars="200"/>
        <w:rPr>
          <w:rFonts w:ascii="仿宋_GB2312" w:hAnsi="CESI仿宋-GB2312" w:eastAsia="仿宋_GB2312" w:cs="CESI仿宋-GB2312"/>
          <w:sz w:val="32"/>
          <w:szCs w:val="32"/>
        </w:rPr>
      </w:pPr>
      <w:r>
        <w:rPr>
          <w:rFonts w:hint="eastAsia" w:ascii="仿宋_GB2312" w:hAnsi="宋体" w:eastAsia="仿宋_GB2312" w:cs="宋体"/>
          <w:b/>
          <w:bCs/>
          <w:color w:val="000000"/>
          <w:kern w:val="0"/>
          <w:sz w:val="32"/>
          <w:szCs w:val="32"/>
        </w:rPr>
        <w:t>二是</w:t>
      </w:r>
      <w:r>
        <w:rPr>
          <w:rFonts w:hint="eastAsia" w:ascii="仿宋_GB2312" w:hAnsi="CESI仿宋-GB2312" w:eastAsia="仿宋_GB2312" w:cs="CESI仿宋-GB2312"/>
          <w:b/>
          <w:bCs/>
          <w:sz w:val="32"/>
          <w:szCs w:val="32"/>
        </w:rPr>
        <w:t>企业一线科技工作者创新能力有效提升。</w:t>
      </w:r>
      <w:r>
        <w:rPr>
          <w:rFonts w:hint="eastAsia" w:ascii="仿宋_GB2312" w:hAnsi="CESI仿宋-GB2312" w:eastAsia="仿宋_GB2312" w:cs="CESI仿宋-GB2312"/>
          <w:sz w:val="32"/>
          <w:szCs w:val="32"/>
        </w:rPr>
        <w:t>2021年继续组织创新方法培训工作，以技术创新理论和TRIZ（萃智）方法为核心，从企业需求出发，旨在帮助一线的科研骨干打破思维定势、拓展创新思维能力、解决实际问题。截至2</w:t>
      </w:r>
      <w:r>
        <w:rPr>
          <w:rFonts w:ascii="仿宋_GB2312" w:hAnsi="CESI仿宋-GB2312" w:eastAsia="仿宋_GB2312" w:cs="CESI仿宋-GB2312"/>
          <w:sz w:val="32"/>
          <w:szCs w:val="32"/>
        </w:rPr>
        <w:t>021</w:t>
      </w:r>
      <w:r>
        <w:rPr>
          <w:rFonts w:hint="eastAsia" w:ascii="仿宋_GB2312" w:hAnsi="CESI仿宋-GB2312" w:eastAsia="仿宋_GB2312" w:cs="CESI仿宋-GB2312"/>
          <w:sz w:val="32"/>
          <w:szCs w:val="32"/>
        </w:rPr>
        <w:t>年年底，共举办创新方法培训13次，其中创新方法普及培训6次、为期五天的创新方法深度培训2次、为期五天的中石油创新一级工程师专项培训1次、为期三天的北京赛区赛前培训1次、一对一项目辅导3场，累计服务来自各类企业和高校的研发人员、技术人员、一线工程师、高校师生等800余人，150人通过一级创新工程师认证考试。</w:t>
      </w:r>
    </w:p>
    <w:p>
      <w:pPr>
        <w:adjustRightInd w:val="0"/>
        <w:snapToGrid w:val="0"/>
        <w:spacing w:line="360" w:lineRule="auto"/>
        <w:ind w:firstLine="643" w:firstLineChars="200"/>
        <w:rPr>
          <w:rFonts w:ascii="仿宋_GB2312" w:hAnsi="仿宋" w:eastAsia="仿宋_GB2312"/>
          <w:sz w:val="32"/>
          <w:szCs w:val="32"/>
        </w:rPr>
      </w:pPr>
      <w:r>
        <w:rPr>
          <w:rFonts w:hint="eastAsia" w:ascii="仿宋_GB2312" w:hAnsi="宋体" w:eastAsia="仿宋_GB2312" w:cs="宋体"/>
          <w:b/>
          <w:bCs/>
          <w:color w:val="000000"/>
          <w:kern w:val="0"/>
          <w:sz w:val="32"/>
          <w:szCs w:val="32"/>
        </w:rPr>
        <w:t>三是科普资源共享效果持续加强。</w:t>
      </w:r>
      <w:r>
        <w:rPr>
          <w:rFonts w:hint="eastAsia" w:ascii="仿宋_GB2312" w:hAnsi="仿宋" w:eastAsia="仿宋_GB2312"/>
          <w:sz w:val="32"/>
          <w:szCs w:val="32"/>
        </w:rPr>
        <w:t>联合12个部门共同主办北京市全国科普日活动第十一届北京科学嘉年华，树立以发展创新文化为核心的“首都科普”品牌形象，包括北京科学嘉年华主场活动、首都科普联合行动、北京国际科学传播交流周、北京云端嘉年华等四大板块。千余名科技工作者参与，线上线下参与公众达900余万人次。组织开展第三届北京科学传播大赛。北京科学传播技能大赛开展赛前培训及报名征集，40余人通过初审参加个人赛，征集科学表演5项、展览展品7项；北京科学传播创意作品大赛征集漫画动画作品8154项，开展优秀作品巡展15场、2场线上宣讲会，播放量8.3万次。举办首都科学讲堂42场，线上线下累计观看人数1484万人次。服务北京市促进科幻产业发展，重点搭建北京特色科幻孵化与服务平台，培养科幻新人和优质科幻作品，加强科幻创作领域的智库建设，举办2021年北京科幻“光年奖”评选活动，征集科幻原创作品870部，44部获奖。举办“中国科幻大会北京科幻光年奖创作主题论坛”“十年乘舱 光年启航”主题科幻展，成立北京科普作协科幻专业委员会。</w:t>
      </w:r>
    </w:p>
    <w:p>
      <w:pPr>
        <w:adjustRightInd w:val="0"/>
        <w:snapToGrid w:val="0"/>
        <w:spacing w:line="360" w:lineRule="auto"/>
        <w:ind w:firstLine="640" w:firstLineChars="200"/>
        <w:outlineLvl w:val="2"/>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.可持续影响</w:t>
      </w:r>
    </w:p>
    <w:p>
      <w:pPr>
        <w:adjustRightInd w:val="0"/>
        <w:snapToGrid w:val="0"/>
        <w:spacing w:line="360" w:lineRule="auto"/>
        <w:ind w:firstLine="643" w:firstLineChars="200"/>
        <w:rPr>
          <w:rFonts w:ascii="仿宋_GB2312" w:hAnsi="仿宋" w:eastAsia="仿宋_GB2312"/>
          <w:sz w:val="32"/>
          <w:szCs w:val="32"/>
        </w:rPr>
      </w:pPr>
      <w:r>
        <w:rPr>
          <w:rFonts w:hint="eastAsia" w:ascii="仿宋_GB2312" w:hAnsi="仿宋" w:eastAsia="仿宋_GB2312"/>
          <w:b/>
          <w:bCs/>
          <w:sz w:val="32"/>
          <w:szCs w:val="32"/>
        </w:rPr>
        <w:t>一是提高公民科学素养，推动科普事业发展。</w:t>
      </w:r>
      <w:r>
        <w:rPr>
          <w:rFonts w:hint="eastAsia" w:ascii="仿宋_GB2312" w:hAnsi="仿宋" w:eastAsia="仿宋_GB2312"/>
          <w:sz w:val="32"/>
          <w:szCs w:val="32"/>
        </w:rPr>
        <w:t>开展北京市全民科学素质大赛，赛事覆盖北京市16区，累计线上注册人数超过156万人，传播量近2475.6万人次。联合市委组织部共同组织实施北京市公务员科学素质提升工程，设计科普课程166门，甄选优秀师资102人，举办科普讲座25场，受众公务员1.8万余人次。全年计划开展科学素质讲座48讲，受益农民1440人次；农业技能培训51讲，受益农民1020人次。积极推进社区科普大学建设。对社区开展科普公益直播课5场，累计观看8261人次，科普讲座45场，科普研学活动12场，参与人数达1900余人次，编制36期科普剧、10期科普系列专题节目。</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Calibri" w:eastAsia="仿宋_GB2312"/>
          <w:sz w:val="32"/>
          <w:szCs w:val="32"/>
        </w:rPr>
        <w:t>中国科协第11次中国公民科学素质抽样调查结果显示，北京公民具备科学素质比例达到24.07%，在全国名列前茅，圆满完成“十三五”时期提出的发展指标，其中海淀区以31%在全国地市级区域位居首位。</w:t>
      </w:r>
    </w:p>
    <w:p>
      <w:pPr>
        <w:adjustRightInd w:val="0"/>
        <w:snapToGrid w:val="0"/>
        <w:spacing w:line="360" w:lineRule="auto"/>
        <w:ind w:firstLine="700" w:firstLineChars="218"/>
        <w:rPr>
          <w:rFonts w:ascii="仿宋_GB2312" w:hAnsi="仿宋" w:eastAsia="仿宋_GB2312"/>
          <w:sz w:val="32"/>
          <w:szCs w:val="32"/>
        </w:rPr>
      </w:pPr>
      <w:r>
        <w:rPr>
          <w:rFonts w:hint="eastAsia" w:ascii="仿宋_GB2312" w:hAnsi="仿宋" w:eastAsia="仿宋_GB2312"/>
          <w:b/>
          <w:bCs/>
          <w:sz w:val="32"/>
          <w:szCs w:val="32"/>
        </w:rPr>
        <w:t>二是积极培养优秀科技人才，赋能优秀科技工作者成长成才。</w:t>
      </w:r>
      <w:r>
        <w:rPr>
          <w:rFonts w:hint="eastAsia" w:ascii="仿宋_GB2312" w:hAnsi="仿宋" w:eastAsia="仿宋_GB2312"/>
          <w:sz w:val="32"/>
          <w:szCs w:val="32"/>
        </w:rPr>
        <w:t>开展茅以升科学技术奖-北京青年科技奖等多项人才举荐工作，在此基础上，将发现、举荐、使用、培养和宣传科技人才紧密结合，组织开展2次“北京优秀青年工程师创新工作室”工作会，围绕团队建设、人才培养等开展交流研讨；组织开展首都科技工作者沙龙4期（2期待开展）；持续开展获奖科技人才数据更新、整理和分析等相关工作；开展优秀获奖人才宣传工作，以北京优秀青年工程师、茅以升北京青年科技奖获奖者等优秀科技工作者为采访对象，深入实地采访、获取详实资料。</w:t>
      </w:r>
    </w:p>
    <w:p>
      <w:pPr>
        <w:adjustRightInd w:val="0"/>
        <w:snapToGrid w:val="0"/>
        <w:spacing w:line="360" w:lineRule="auto"/>
        <w:ind w:firstLine="697" w:firstLineChars="218"/>
        <w:rPr>
          <w:rFonts w:ascii="仿宋_GB2312" w:hAnsi="仿宋_GB2312" w:eastAsia="仿宋_GB2312" w:cs="仿宋_GB2312"/>
          <w:sz w:val="32"/>
          <w:szCs w:val="32"/>
        </w:rPr>
      </w:pPr>
      <w:r>
        <w:rPr>
          <w:rFonts w:hint="eastAsia" w:ascii="仿宋_GB2312" w:hAnsi="仿宋" w:eastAsia="仿宋_GB2312"/>
          <w:sz w:val="32"/>
          <w:szCs w:val="32"/>
        </w:rPr>
        <w:t>北京科技社团服务中心</w:t>
      </w:r>
      <w:r>
        <w:rPr>
          <w:rFonts w:hint="eastAsia" w:ascii="仿宋_GB2312" w:hAnsi="仿宋_GB2312" w:eastAsia="仿宋_GB2312" w:cs="仿宋_GB2312"/>
          <w:sz w:val="32"/>
          <w:szCs w:val="32"/>
        </w:rPr>
        <w:t>成功举办第三届国际自主智能机器人大赛，以线下线上相结合的方式，吸引了来自英国、德国、俄罗斯、巴基斯坦的相关高校以及清华大学、中山大学、武汉大学等国内知名高校共110支队伍参赛。韩国、德国、荷兰、南非、泰国等国家相关高校和机构的代表向大赛发来视频贺词。大赛的内容不断丰富，国际影响力逐步提升。</w:t>
      </w:r>
    </w:p>
    <w:p>
      <w:pPr>
        <w:adjustRightInd w:val="0"/>
        <w:snapToGrid w:val="0"/>
        <w:spacing w:line="360" w:lineRule="auto"/>
        <w:ind w:firstLine="643" w:firstLineChars="200"/>
        <w:rPr>
          <w:rFonts w:ascii="仿宋_GB2312" w:eastAsia="仿宋_GB2312"/>
          <w:sz w:val="32"/>
          <w:szCs w:val="32"/>
        </w:rPr>
      </w:pPr>
      <w:r>
        <w:rPr>
          <w:rFonts w:hint="eastAsia" w:ascii="仿宋_GB2312" w:hAnsi="仿宋" w:eastAsia="仿宋_GB2312"/>
          <w:b/>
          <w:bCs/>
          <w:sz w:val="32"/>
          <w:szCs w:val="32"/>
        </w:rPr>
        <w:t>三是加强企业自身建设，提升科协组织影响力。</w:t>
      </w:r>
      <w:r>
        <w:rPr>
          <w:rFonts w:hint="eastAsia" w:ascii="仿宋_GB2312" w:eastAsia="仿宋_GB2312"/>
          <w:sz w:val="32"/>
          <w:szCs w:val="32"/>
        </w:rPr>
        <w:t>重点推进企业科协和高校科协建设，鼓励和支持具备条件的民营科技企业建立科协，巩固和扩大高校、院所科协，不断扩大覆盖面、提高影响力。</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市科协创新服务中心为促进开放型企业科协组织建设能力提升，于9月组织召开“2021年北京市科协企业创新簇评审会”，对16家企业创新服务中心推荐的92家申报创新簇企业进行评审，初步推选出50家企业建立创新簇。此外，以开放型高校科协建设为核心，以高校为主导，聚焦企业创新需求，加强高校和企业横向互动，共同推进企业自主创新。北京石油化工学院高校创新簇工作站作为首个高校创新簇工作站，成功举行校企对接活动，会上开展了医药健康科技创新成果推介和医药健康学术交流研讨，北京石油化工学院相关院系与医药企业签署校企合作协议。</w:t>
      </w:r>
    </w:p>
    <w:p>
      <w:pPr>
        <w:adjustRightInd w:val="0"/>
        <w:snapToGrid w:val="0"/>
        <w:spacing w:line="360" w:lineRule="auto"/>
        <w:ind w:firstLine="640" w:firstLineChars="200"/>
        <w:outlineLvl w:val="0"/>
        <w:rPr>
          <w:rFonts w:ascii="黑体" w:hAnsi="黑体" w:eastAsia="黑体"/>
          <w:sz w:val="32"/>
          <w:szCs w:val="32"/>
        </w:rPr>
      </w:pPr>
      <w:bookmarkStart w:id="13" w:name="_Toc103362020"/>
      <w:r>
        <w:rPr>
          <w:rFonts w:hint="eastAsia" w:ascii="黑体" w:hAnsi="黑体" w:eastAsia="黑体"/>
          <w:sz w:val="32"/>
          <w:szCs w:val="32"/>
        </w:rPr>
        <w:t>四</w:t>
      </w:r>
      <w:r>
        <w:rPr>
          <w:rFonts w:ascii="黑体" w:hAnsi="黑体" w:eastAsia="黑体"/>
          <w:sz w:val="32"/>
          <w:szCs w:val="32"/>
        </w:rPr>
        <w:t>、预算管理</w:t>
      </w:r>
      <w:r>
        <w:rPr>
          <w:rFonts w:hint="eastAsia" w:ascii="黑体" w:hAnsi="黑体" w:eastAsia="黑体"/>
          <w:sz w:val="32"/>
          <w:szCs w:val="32"/>
        </w:rPr>
        <w:t>情况分</w:t>
      </w:r>
      <w:r>
        <w:rPr>
          <w:rFonts w:ascii="黑体" w:hAnsi="黑体" w:eastAsia="黑体"/>
          <w:sz w:val="32"/>
          <w:szCs w:val="32"/>
        </w:rPr>
        <w:t>析</w:t>
      </w:r>
      <w:bookmarkEnd w:id="13"/>
    </w:p>
    <w:p>
      <w:pPr>
        <w:adjustRightInd w:val="0"/>
        <w:snapToGrid w:val="0"/>
        <w:spacing w:line="360" w:lineRule="auto"/>
        <w:ind w:firstLine="640" w:firstLineChars="200"/>
        <w:outlineLvl w:val="1"/>
        <w:rPr>
          <w:rFonts w:ascii="楷体_GB2312" w:hAnsi="仿宋" w:eastAsia="楷体_GB2312"/>
          <w:sz w:val="32"/>
          <w:szCs w:val="32"/>
        </w:rPr>
      </w:pPr>
      <w:bookmarkStart w:id="14" w:name="_Toc103362021"/>
      <w:r>
        <w:rPr>
          <w:rFonts w:hint="eastAsia" w:ascii="楷体_GB2312" w:hAnsi="仿宋" w:eastAsia="楷体_GB2312"/>
          <w:sz w:val="32"/>
          <w:szCs w:val="32"/>
        </w:rPr>
        <w:t>（一）财务管理</w:t>
      </w:r>
      <w:bookmarkEnd w:id="14"/>
    </w:p>
    <w:p>
      <w:pPr>
        <w:adjustRightInd w:val="0"/>
        <w:snapToGrid w:val="0"/>
        <w:spacing w:line="360"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1.财务</w:t>
      </w:r>
      <w:r>
        <w:rPr>
          <w:rFonts w:ascii="仿宋_GB2312" w:hAnsi="宋体" w:eastAsia="仿宋_GB2312" w:cs="宋体"/>
          <w:kern w:val="0"/>
          <w:sz w:val="32"/>
          <w:szCs w:val="32"/>
        </w:rPr>
        <w:t>管理制度健全性</w:t>
      </w:r>
    </w:p>
    <w:p>
      <w:pPr>
        <w:adjustRightInd w:val="0"/>
        <w:snapToGrid w:val="0"/>
        <w:spacing w:line="360" w:lineRule="auto"/>
        <w:ind w:firstLine="640" w:firstLineChars="200"/>
        <w:rPr>
          <w:rFonts w:ascii="仿宋_GB2312" w:hAnsi="宋体" w:eastAsia="仿宋_GB2312" w:cs="宋体"/>
          <w:kern w:val="0"/>
          <w:sz w:val="32"/>
          <w:szCs w:val="32"/>
        </w:rPr>
      </w:pPr>
      <w:r>
        <w:rPr>
          <w:rFonts w:hint="eastAsia" w:ascii="仿宋_GB2312" w:hAnsi="宋体" w:eastAsia="仿宋_GB2312" w:cs="宋体"/>
          <w:color w:val="000000"/>
          <w:kern w:val="0"/>
          <w:sz w:val="32"/>
          <w:szCs w:val="32"/>
        </w:rPr>
        <w:t>为提高财政资金使用的合规性和安全性，进一步规范财务管理，市科协结合实际情况，以前年度印发了《北京市科学技术协会内部控制手册（试行）》，制定了一套较为完备的财务管理制度，涵盖预算管理、采购管理、合同管理、资产管理、财务管理及会计核算等</w:t>
      </w:r>
      <w:r>
        <w:rPr>
          <w:rFonts w:hint="eastAsia" w:ascii="仿宋_GB2312" w:hAnsi="宋体" w:eastAsia="仿宋_GB2312" w:cs="宋体"/>
          <w:kern w:val="0"/>
          <w:sz w:val="32"/>
          <w:szCs w:val="32"/>
        </w:rPr>
        <w:t>等一系列财务制度</w:t>
      </w:r>
      <w:r>
        <w:rPr>
          <w:rFonts w:hint="eastAsia" w:ascii="仿宋_GB2312" w:hAnsi="宋体" w:eastAsia="仿宋_GB2312" w:cs="宋体"/>
          <w:color w:val="000000"/>
          <w:kern w:val="0"/>
          <w:sz w:val="32"/>
          <w:szCs w:val="32"/>
        </w:rPr>
        <w:t>（关键性制度文件见表</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w:t>
      </w:r>
      <w:r>
        <w:rPr>
          <w:rFonts w:hint="eastAsia" w:ascii="仿宋_GB2312" w:hAnsi="宋体" w:eastAsia="仿宋_GB2312" w:cs="宋体"/>
          <w:kern w:val="0"/>
          <w:sz w:val="32"/>
          <w:szCs w:val="32"/>
        </w:rPr>
        <w:t>，为</w:t>
      </w:r>
      <w:r>
        <w:rPr>
          <w:rFonts w:hint="eastAsia" w:ascii="仿宋_GB2312" w:hAnsi="宋体" w:eastAsia="仿宋_GB2312" w:cs="宋体"/>
          <w:color w:val="000000"/>
          <w:kern w:val="0"/>
          <w:sz w:val="32"/>
          <w:szCs w:val="32"/>
        </w:rPr>
        <w:t>部门相关工作顺利开展夯实了制度基础</w:t>
      </w:r>
      <w:r>
        <w:rPr>
          <w:rFonts w:hint="eastAsia" w:ascii="仿宋_GB2312" w:hAnsi="宋体" w:eastAsia="仿宋_GB2312" w:cs="宋体"/>
          <w:kern w:val="0"/>
          <w:sz w:val="32"/>
          <w:szCs w:val="32"/>
        </w:rPr>
        <w:t>，</w:t>
      </w:r>
      <w:bookmarkStart w:id="15" w:name="_Hlk104540215"/>
      <w:r>
        <w:rPr>
          <w:rFonts w:hint="eastAsia" w:ascii="仿宋_GB2312" w:hAnsi="宋体" w:eastAsia="仿宋_GB2312" w:cs="宋体"/>
          <w:kern w:val="0"/>
          <w:sz w:val="32"/>
          <w:szCs w:val="32"/>
        </w:rPr>
        <w:t>财务制度健全</w:t>
      </w:r>
      <w:bookmarkEnd w:id="15"/>
      <w:r>
        <w:rPr>
          <w:rFonts w:hint="eastAsia" w:ascii="仿宋_GB2312" w:hAnsi="宋体" w:eastAsia="仿宋_GB2312" w:cs="宋体"/>
          <w:kern w:val="0"/>
          <w:sz w:val="32"/>
          <w:szCs w:val="32"/>
        </w:rPr>
        <w:t>。但是，个别制度的修订、更新有待加强，如，《内部控制管理手册》印发时间为2</w:t>
      </w:r>
      <w:r>
        <w:rPr>
          <w:rFonts w:ascii="仿宋_GB2312" w:hAnsi="宋体" w:eastAsia="仿宋_GB2312" w:cs="宋体"/>
          <w:kern w:val="0"/>
          <w:sz w:val="32"/>
          <w:szCs w:val="32"/>
        </w:rPr>
        <w:t>015</w:t>
      </w:r>
      <w:r>
        <w:rPr>
          <w:rFonts w:hint="eastAsia" w:ascii="仿宋_GB2312" w:hAnsi="宋体" w:eastAsia="仿宋_GB2312" w:cs="宋体"/>
          <w:kern w:val="0"/>
          <w:sz w:val="32"/>
          <w:szCs w:val="32"/>
        </w:rPr>
        <w:t>年3月，个别制度在2</w:t>
      </w:r>
      <w:r>
        <w:rPr>
          <w:rFonts w:ascii="仿宋_GB2312" w:hAnsi="宋体" w:eastAsia="仿宋_GB2312" w:cs="宋体"/>
          <w:kern w:val="0"/>
          <w:sz w:val="32"/>
          <w:szCs w:val="32"/>
        </w:rPr>
        <w:t>019</w:t>
      </w:r>
      <w:r>
        <w:rPr>
          <w:rFonts w:hint="eastAsia" w:ascii="仿宋_GB2312" w:hAnsi="宋体" w:eastAsia="仿宋_GB2312" w:cs="宋体"/>
          <w:kern w:val="0"/>
          <w:sz w:val="32"/>
          <w:szCs w:val="32"/>
        </w:rPr>
        <w:t>年也有及时修订，但《北京市科学技术协会经济合同管理办法》</w:t>
      </w:r>
      <w:r>
        <w:rPr>
          <w:rFonts w:hint="eastAsia" w:ascii="仿宋_GB2312" w:hAnsi="宋体" w:eastAsia="仿宋_GB2312" w:cs="宋体"/>
          <w:color w:val="000000"/>
          <w:kern w:val="0"/>
          <w:sz w:val="32"/>
          <w:szCs w:val="32"/>
        </w:rPr>
        <w:t>第一条依据的《中华人民共和国合同法》已于2021年1月1日废止，建议后续依据《民法典》及时修订该制度，《北京市科学技术协会财务管理制度》第一条依据的</w:t>
      </w:r>
      <w:r>
        <w:rPr>
          <w:rFonts w:hint="eastAsia" w:ascii="仿宋_GB2312" w:hAnsi="宋体" w:eastAsia="仿宋_GB2312" w:cs="宋体"/>
          <w:kern w:val="0"/>
          <w:sz w:val="32"/>
          <w:szCs w:val="32"/>
        </w:rPr>
        <w:t>《事业单位财务规则》修订稿已于2021年12月31日经财政部部务会议审议通过，并自2022年3月1日起施行，建议后续及时更新有关条款内容。</w:t>
      </w:r>
    </w:p>
    <w:p>
      <w:pPr>
        <w:spacing w:line="360" w:lineRule="auto"/>
        <w:ind w:firstLine="420" w:firstLineChars="150"/>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表</w:t>
      </w:r>
      <w:r>
        <w:rPr>
          <w:rFonts w:ascii="黑体" w:hAnsi="黑体" w:eastAsia="黑体" w:cs="宋体"/>
          <w:color w:val="000000"/>
          <w:kern w:val="0"/>
          <w:sz w:val="28"/>
          <w:szCs w:val="28"/>
        </w:rPr>
        <w:t>2</w:t>
      </w:r>
      <w:r>
        <w:rPr>
          <w:rFonts w:hint="eastAsia" w:ascii="黑体" w:hAnsi="黑体" w:eastAsia="黑体" w:cs="宋体"/>
          <w:color w:val="000000"/>
          <w:kern w:val="0"/>
          <w:sz w:val="28"/>
          <w:szCs w:val="28"/>
        </w:rPr>
        <w:t>：市科协财务管理制度一览表</w:t>
      </w:r>
    </w:p>
    <w:tbl>
      <w:tblPr>
        <w:tblStyle w:val="15"/>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47"/>
        <w:gridCol w:w="2309"/>
        <w:gridCol w:w="1134"/>
        <w:gridCol w:w="4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947" w:type="dxa"/>
            <w:vAlign w:val="center"/>
          </w:tcPr>
          <w:p>
            <w:pPr>
              <w:widowControl/>
              <w:adjustRightInd w:val="0"/>
              <w:snapToGrid w:val="0"/>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分类</w:t>
            </w:r>
          </w:p>
        </w:tc>
        <w:tc>
          <w:tcPr>
            <w:tcW w:w="2309" w:type="dxa"/>
            <w:shd w:val="clear" w:color="auto" w:fill="auto"/>
            <w:noWrap/>
            <w:vAlign w:val="center"/>
          </w:tcPr>
          <w:p>
            <w:pPr>
              <w:widowControl/>
              <w:adjustRightInd w:val="0"/>
              <w:snapToGrid w:val="0"/>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制度文件名称</w:t>
            </w:r>
          </w:p>
        </w:tc>
        <w:tc>
          <w:tcPr>
            <w:tcW w:w="1134" w:type="dxa"/>
            <w:shd w:val="clear" w:color="auto" w:fill="auto"/>
            <w:noWrap/>
            <w:vAlign w:val="center"/>
          </w:tcPr>
          <w:p>
            <w:pPr>
              <w:widowControl/>
              <w:adjustRightInd w:val="0"/>
              <w:snapToGrid w:val="0"/>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发布/施行时间</w:t>
            </w:r>
          </w:p>
        </w:tc>
        <w:tc>
          <w:tcPr>
            <w:tcW w:w="4466" w:type="dxa"/>
            <w:shd w:val="clear" w:color="auto" w:fill="auto"/>
            <w:noWrap/>
            <w:vAlign w:val="center"/>
          </w:tcPr>
          <w:p>
            <w:pPr>
              <w:widowControl/>
              <w:adjustRightInd w:val="0"/>
              <w:snapToGrid w:val="0"/>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47" w:type="dxa"/>
            <w:vMerge w:val="restart"/>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预算管理</w:t>
            </w: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《北京市科学技术协会预算管理办法》</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明确了预算管理职责、预算编制、预算执行、决算与评价等方面的内容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47" w:type="dxa"/>
            <w:vMerge w:val="continue"/>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《北京市科学技术协会预算绩效管理办法（试行）》</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2019年8月23日</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明确了绩效管理部门与职责、预算编制阶段绩效管理、预算执行阶段绩效管理、决算阶段绩效管理、绩效问责等方面的内容。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47" w:type="dxa"/>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采购管理</w:t>
            </w: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《北京市科学技术协会采购管理办法》</w:t>
            </w:r>
          </w:p>
        </w:tc>
        <w:tc>
          <w:tcPr>
            <w:tcW w:w="1134" w:type="dxa"/>
            <w:shd w:val="clear" w:color="auto" w:fill="auto"/>
            <w:noWrap/>
            <w:vAlign w:val="center"/>
          </w:tcPr>
          <w:p>
            <w:pPr>
              <w:widowControl/>
              <w:adjustRightInd w:val="0"/>
              <w:snapToGrid w:val="0"/>
              <w:jc w:val="center"/>
              <w:rPr>
                <w:rFonts w:ascii="宋体" w:hAnsi="宋体" w:cs="宋体"/>
                <w:sz w:val="20"/>
                <w:szCs w:val="20"/>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明确了采购管理组织体系及职责、与采购业务相关的责任等方面的内容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47" w:type="dxa"/>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合同管理</w:t>
            </w: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《北京市科学技术协会经济合同管理办法》</w:t>
            </w:r>
          </w:p>
        </w:tc>
        <w:tc>
          <w:tcPr>
            <w:tcW w:w="1134" w:type="dxa"/>
            <w:shd w:val="clear" w:color="auto" w:fill="auto"/>
            <w:noWrap/>
            <w:vAlign w:val="center"/>
          </w:tcPr>
          <w:p>
            <w:pPr>
              <w:widowControl/>
              <w:adjustRightInd w:val="0"/>
              <w:snapToGrid w:val="0"/>
              <w:jc w:val="center"/>
              <w:rPr>
                <w:rFonts w:ascii="宋体" w:hAnsi="宋体" w:cs="宋体"/>
                <w:sz w:val="20"/>
                <w:szCs w:val="20"/>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对合同业务的归口管理部门及职责、合同的拟定、合同的审核、合同的签署、合同的履行、合同的登记归档、法律和经济责任等进行了规定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资产管理</w:t>
            </w: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《北京市科学技术协会固定资产管理办法》</w:t>
            </w:r>
          </w:p>
        </w:tc>
        <w:tc>
          <w:tcPr>
            <w:tcW w:w="1134" w:type="dxa"/>
            <w:shd w:val="clear" w:color="auto" w:fill="auto"/>
            <w:noWrap/>
            <w:vAlign w:val="center"/>
          </w:tcPr>
          <w:p>
            <w:pPr>
              <w:widowControl/>
              <w:adjustRightInd w:val="0"/>
              <w:snapToGrid w:val="0"/>
              <w:jc w:val="center"/>
              <w:rPr>
                <w:rFonts w:ascii="宋体" w:hAnsi="宋体" w:cs="宋体"/>
                <w:sz w:val="20"/>
                <w:szCs w:val="20"/>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bookmarkStart w:id="16" w:name="_Hlk104871286"/>
            <w:r>
              <w:rPr>
                <w:rFonts w:hint="eastAsia" w:ascii="宋体" w:hAnsi="宋体" w:cs="宋体"/>
                <w:color w:val="000000" w:themeColor="text1"/>
                <w:kern w:val="0"/>
                <w:sz w:val="20"/>
                <w:szCs w:val="20"/>
                <w14:textFill>
                  <w14:solidFill>
                    <w14:schemeClr w14:val="tx1"/>
                  </w14:solidFill>
                </w14:textFill>
              </w:rPr>
              <w:t>明确了资产管理相关机构及职责分工、固定资产的标准及分类、固定资产的配置、固定资产的出入库、回收、使用和保管、固定资产的盘查、固定资产的处置等方面的内容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restart"/>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财务管理</w:t>
            </w: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《北京市科学技术协会财务管理制度》</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明确了财务管理体制、单位预决算管理、收入管理、支出管理、结余资金管理、资产管理及财务监督与审计方面的内容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continue"/>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《北京市科学技术协会经费支出管理办法（修订稿）》</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sz w:val="20"/>
                <w:szCs w:val="20"/>
              </w:rPr>
              <w:t>2</w:t>
            </w:r>
            <w:r>
              <w:rPr>
                <w:rFonts w:ascii="宋体" w:hAnsi="宋体" w:cs="宋体"/>
                <w:sz w:val="20"/>
                <w:szCs w:val="20"/>
              </w:rPr>
              <w:t>019</w:t>
            </w:r>
            <w:r>
              <w:rPr>
                <w:rFonts w:hint="eastAsia" w:ascii="宋体" w:hAnsi="宋体" w:cs="宋体"/>
                <w:sz w:val="20"/>
                <w:szCs w:val="20"/>
              </w:rPr>
              <w:t>年5月1</w:t>
            </w:r>
            <w:r>
              <w:rPr>
                <w:rFonts w:ascii="宋体" w:hAnsi="宋体" w:cs="宋体"/>
                <w:sz w:val="20"/>
                <w:szCs w:val="20"/>
              </w:rPr>
              <w:t>3</w:t>
            </w:r>
            <w:r>
              <w:rPr>
                <w:rFonts w:hint="eastAsia" w:ascii="宋体" w:hAnsi="宋体" w:cs="宋体"/>
                <w:sz w:val="20"/>
                <w:szCs w:val="20"/>
              </w:rPr>
              <w:t>日</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对经费管理职责分工、经费支出审批权限、经费使用责任等方面进行了规定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continue"/>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《北京市科学技术协会会议费实施细则》</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规定了会议分类、会期、预算标准、会议费报销、申报会议计划及汇报会议执行情况等内容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continue"/>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《北京市科学技术协会培训费实施细则》</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规定了培训费开支范围、二类培训费支出标准、师资费、参训人员数量、培训费报销、申报培训计划及汇报培训执行情况等内容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continue"/>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《北京市科学技术协会招待费审批管理办法》</w:t>
            </w:r>
          </w:p>
        </w:tc>
        <w:tc>
          <w:tcPr>
            <w:tcW w:w="1134" w:type="dxa"/>
            <w:shd w:val="clear" w:color="auto" w:fill="auto"/>
            <w:noWrap/>
            <w:vAlign w:val="center"/>
          </w:tcPr>
          <w:p>
            <w:pPr>
              <w:widowControl/>
              <w:adjustRightInd w:val="0"/>
              <w:snapToGrid w:val="0"/>
              <w:jc w:val="center"/>
              <w:rPr>
                <w:rFonts w:ascii="宋体" w:hAnsi="宋体" w:cs="宋体"/>
                <w:sz w:val="20"/>
                <w:szCs w:val="20"/>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规定了单位外部用餐审批流程、单位内部用餐招待费支出审批流程等内容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continue"/>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《北京市科学技术协会内部审计管理办法》</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规定了内部审计机构及人员、内部审计程序、审计结果运用等内容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restart"/>
            <w:vAlign w:val="center"/>
          </w:tcPr>
          <w:p>
            <w:pPr>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会计核算制度</w:t>
            </w: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《北京市科学技术协会现金管理办法》</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sz w:val="20"/>
                <w:szCs w:val="20"/>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规定了现金管理的职责分工、现金提取、现金使用审批制度等内容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947" w:type="dxa"/>
            <w:vMerge w:val="continue"/>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p>
        </w:tc>
        <w:tc>
          <w:tcPr>
            <w:tcW w:w="2309" w:type="dxa"/>
            <w:shd w:val="clear" w:color="auto" w:fill="auto"/>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《北京市科学技术协会公务卡结算管理办法》</w:t>
            </w:r>
          </w:p>
        </w:tc>
        <w:tc>
          <w:tcPr>
            <w:tcW w:w="1134" w:type="dxa"/>
            <w:shd w:val="clear" w:color="auto" w:fill="auto"/>
            <w:noWrap/>
            <w:vAlign w:val="center"/>
          </w:tcPr>
          <w:p>
            <w:pPr>
              <w:widowControl/>
              <w:adjustRightInd w:val="0"/>
              <w:snapToGrid w:val="0"/>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w:t>
            </w:r>
          </w:p>
        </w:tc>
        <w:tc>
          <w:tcPr>
            <w:tcW w:w="4466" w:type="dxa"/>
            <w:shd w:val="clear" w:color="auto" w:fill="auto"/>
            <w:vAlign w:val="center"/>
          </w:tcPr>
          <w:p>
            <w:pPr>
              <w:widowControl/>
              <w:adjustRightInd w:val="0"/>
              <w:snapToGrid w:val="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规定了公务卡使用范围、日常管理、财务管理等内容</w:t>
            </w:r>
          </w:p>
        </w:tc>
      </w:tr>
    </w:tbl>
    <w:p>
      <w:pPr>
        <w:adjustRightInd w:val="0"/>
        <w:snapToGrid w:val="0"/>
        <w:spacing w:line="360" w:lineRule="auto"/>
        <w:ind w:firstLine="640" w:firstLineChars="200"/>
        <w:rPr>
          <w:rFonts w:ascii="仿宋_GB2312" w:hAnsi="宋体" w:eastAsia="仿宋_GB2312" w:cs="宋体"/>
          <w:color w:val="000000"/>
          <w:kern w:val="0"/>
          <w:sz w:val="32"/>
          <w:szCs w:val="32"/>
        </w:rPr>
      </w:pPr>
    </w:p>
    <w:p>
      <w:pPr>
        <w:adjustRightInd w:val="0"/>
        <w:snapToGrid w:val="0"/>
        <w:spacing w:line="360"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2.资金使用合规性</w:t>
      </w:r>
      <w:r>
        <w:rPr>
          <w:rFonts w:ascii="仿宋_GB2312" w:hAnsi="宋体" w:eastAsia="仿宋_GB2312" w:cs="宋体"/>
          <w:kern w:val="0"/>
          <w:sz w:val="32"/>
          <w:szCs w:val="32"/>
        </w:rPr>
        <w:t>和安全性</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度，市科协在部门履职工作期间，各内设机构及所属事业单位主要根据北京市行政事业单位财务制度及单位内部的一系列财务管理制度执行，未出现违反财务管理制度和有关专项资金管理办法的情况。具体表现为：</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是资金拨付均履行了相应的审批手续，在经办、审核、审批、财务复核四个环节，能够遵守“逐级呈报”的原则履行经费使用审批程序。项目资金支出按照金额进行梯度划分，对500元以上5000元（含）以下支出事项，由部门负责人审核后，报分管业务领导审批；对5000元以上500000元（含）以下支出项目，由部门负责人负责审批后，分别报分管业务领导、分管财务领导审批；对500000元以上的支出事项，报党组会审议通过。</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二是资金支出受市科协计划财务部全程监督,符合预算批复的用途，与年度重点工作方向相一致，资金主要根据合同约定支出，对于2</w:t>
      </w:r>
      <w:r>
        <w:rPr>
          <w:rFonts w:ascii="仿宋_GB2312" w:hAnsi="宋体" w:eastAsia="仿宋_GB2312" w:cs="宋体"/>
          <w:color w:val="000000"/>
          <w:kern w:val="0"/>
          <w:sz w:val="32"/>
          <w:szCs w:val="32"/>
        </w:rPr>
        <w:t>021</w:t>
      </w:r>
      <w:r>
        <w:rPr>
          <w:rFonts w:hint="eastAsia" w:ascii="仿宋_GB2312" w:hAnsi="宋体" w:eastAsia="仿宋_GB2312" w:cs="宋体"/>
          <w:color w:val="000000"/>
          <w:kern w:val="0"/>
          <w:sz w:val="32"/>
          <w:szCs w:val="32"/>
        </w:rPr>
        <w:t>年度当年支出计划有变的内容，及时调整预算并按有关规定将相应资金交回财政，不存在截留、挤占、挪用情况。</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是资金使用符合政府采购目录的事项，能够按照《中华人民共和国政府采购法》规定的采购方式执行，“公开招标、竞争性磋商、三方询价”等工作流程均履行了必要的程序，与政府采购的程序和流程相符，且能够按要求公开政府采购计划。</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是资金使用符合公务卡结算相关制度和规定。市科协按照《北京市科学技术协会公务卡结算管理办法》相关要求执行公务卡强制结算目录，凡目录规定的公务支出项目，均通过国库集中支付系统和公务卡支出系统按照报销提请、还款、资金退回、账务处理与对账等规定程序使用公务卡结算。</w:t>
      </w:r>
    </w:p>
    <w:p>
      <w:pPr>
        <w:adjustRightInd w:val="0"/>
        <w:snapToGrid w:val="0"/>
        <w:spacing w:line="360" w:lineRule="auto"/>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3.</w:t>
      </w:r>
      <w:r>
        <w:rPr>
          <w:rFonts w:hint="eastAsia" w:ascii="仿宋_GB2312" w:hAnsi="宋体" w:eastAsia="仿宋_GB2312" w:cs="宋体"/>
          <w:kern w:val="0"/>
          <w:sz w:val="32"/>
          <w:szCs w:val="32"/>
        </w:rPr>
        <w:t>会计</w:t>
      </w:r>
      <w:r>
        <w:rPr>
          <w:rFonts w:ascii="仿宋_GB2312" w:hAnsi="宋体" w:eastAsia="仿宋_GB2312" w:cs="宋体"/>
          <w:kern w:val="0"/>
          <w:sz w:val="32"/>
          <w:szCs w:val="32"/>
        </w:rPr>
        <w:t>基础信息完善性</w:t>
      </w:r>
    </w:p>
    <w:p>
      <w:pPr>
        <w:adjustRightInd w:val="0"/>
        <w:snapToGrid w:val="0"/>
        <w:spacing w:line="360" w:lineRule="auto"/>
        <w:ind w:firstLine="640" w:firstLineChars="200"/>
        <w:rPr>
          <w:rFonts w:ascii="仿宋_GB2312" w:hAnsi="宋体" w:eastAsia="仿宋_GB2312" w:cs="宋体"/>
          <w:color w:val="000000"/>
          <w:kern w:val="0"/>
          <w:sz w:val="32"/>
          <w:szCs w:val="32"/>
        </w:rPr>
      </w:pPr>
      <w:bookmarkStart w:id="17" w:name="_Hlk103343508"/>
      <w:r>
        <w:rPr>
          <w:rFonts w:hint="eastAsia" w:ascii="仿宋_GB2312" w:hAnsi="宋体" w:eastAsia="仿宋_GB2312" w:cs="宋体"/>
          <w:color w:val="000000"/>
          <w:kern w:val="0"/>
          <w:sz w:val="32"/>
          <w:szCs w:val="32"/>
        </w:rPr>
        <w:t>一是市科协实行财务会计和预算会计适度分离并相互衔接的会计核算模式，财务会计采用权责发生制，通过资产、负债、净资产、收入、费用五个要素进行财务会计核算，预算会计采用收付实现制，通过预算收入、预算支出和预算结余三个要素进行预算会计核算。</w:t>
      </w:r>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是市科协执行上述财务管理制度，对经费支出流程、政府采购等均履行了相应的审批、核算及拨付程序和手续，会计凭证、会计账簿、会计报表及其相关的电算化数据规范完整、真实详尽，原始凭证及记账凭证内容要素、签名签章齐全。会计账簿记录与原始凭证、记账凭证的时间、凭证字号、内容、金额一致，记账方向相符；总账与明细账相符，总账与日记账相符；会计账簿记录与财产等实有数额相符。</w:t>
      </w:r>
    </w:p>
    <w:bookmarkEnd w:id="17"/>
    <w:p>
      <w:pPr>
        <w:adjustRightInd w:val="0"/>
        <w:snapToGrid w:val="0"/>
        <w:spacing w:line="360" w:lineRule="auto"/>
        <w:ind w:firstLine="640" w:firstLineChars="200"/>
        <w:outlineLvl w:val="1"/>
        <w:rPr>
          <w:rFonts w:ascii="楷体_GB2312" w:hAnsi="仿宋" w:eastAsia="楷体_GB2312"/>
          <w:sz w:val="32"/>
          <w:szCs w:val="32"/>
        </w:rPr>
      </w:pPr>
      <w:bookmarkStart w:id="18" w:name="_Toc103362022"/>
      <w:r>
        <w:rPr>
          <w:rFonts w:hint="eastAsia" w:ascii="楷体_GB2312" w:hAnsi="仿宋" w:eastAsia="楷体_GB2312"/>
          <w:sz w:val="32"/>
          <w:szCs w:val="32"/>
        </w:rPr>
        <w:t>（二）资产管理</w:t>
      </w:r>
      <w:bookmarkEnd w:id="18"/>
    </w:p>
    <w:p>
      <w:pPr>
        <w:adjustRightInd w:val="0"/>
        <w:snapToGrid w:val="0"/>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是市科协能够依据北京市财政局及本单位资产管理的有关规定执行，固定资产的出入库、回收、使用和保管、盘查、处置（新增、减少）等，能够做到及时登记，并形成固定资产台账，未出现资产损失和丢失的情况。</w:t>
      </w:r>
      <w:r>
        <w:rPr>
          <w:rFonts w:hint="eastAsia" w:ascii="仿宋_GB2312" w:hAnsi="宋体" w:eastAsia="仿宋_GB2312" w:cs="宋体"/>
          <w:kern w:val="0"/>
          <w:sz w:val="32"/>
          <w:szCs w:val="32"/>
        </w:rPr>
        <w:t>截至2021年底，市科协共有车辆13台、单位价值50万元以上的通用设备11台（套），</w:t>
      </w:r>
      <w:r>
        <w:rPr>
          <w:rFonts w:hint="eastAsia" w:ascii="仿宋_GB2312" w:hAnsi="宋体" w:eastAsia="仿宋_GB2312" w:cs="宋体"/>
          <w:color w:val="000000"/>
          <w:kern w:val="0"/>
          <w:sz w:val="32"/>
          <w:szCs w:val="32"/>
        </w:rPr>
        <w:t>不存在未经批准擅自出租、出借资产行为，也不存在不按要求进行报批或资产不公开处置行为。</w:t>
      </w:r>
    </w:p>
    <w:p>
      <w:pPr>
        <w:adjustRightInd w:val="0"/>
        <w:snapToGrid w:val="0"/>
        <w:spacing w:line="360" w:lineRule="auto"/>
        <w:ind w:firstLine="640" w:firstLineChars="200"/>
        <w:rPr>
          <w:rFonts w:ascii="仿宋_GB2312" w:hAnsi="宋体" w:eastAsia="仿宋_GB2312" w:cs="宋体"/>
          <w:kern w:val="0"/>
          <w:sz w:val="32"/>
          <w:szCs w:val="32"/>
        </w:rPr>
      </w:pPr>
      <w:r>
        <w:rPr>
          <w:rFonts w:hint="eastAsia" w:ascii="仿宋_GB2312" w:hAnsi="宋体" w:eastAsia="仿宋_GB2312" w:cs="宋体"/>
          <w:color w:val="000000"/>
          <w:kern w:val="0"/>
          <w:sz w:val="32"/>
          <w:szCs w:val="32"/>
        </w:rPr>
        <w:t>二是固定资产配置方面，</w:t>
      </w:r>
      <w:r>
        <w:rPr>
          <w:rFonts w:hint="eastAsia" w:ascii="仿宋_GB2312" w:hAnsi="宋体" w:eastAsia="仿宋_GB2312" w:cs="宋体"/>
          <w:kern w:val="0"/>
          <w:sz w:val="32"/>
          <w:szCs w:val="32"/>
        </w:rPr>
        <w:t>市科协2021年末编制内实有人员由年初295人（行政编制56人，事业编制239人），经核实反映台式机、便携式笔记本、打印机、复印机等情况的资产台账，市科协实有配置未超《北京市行政事业单位日常办公设备配置标准（试行）》中的上限数量。但科学中心现存摄像机6台，审计反馈超过配置标准5台，原因为资产登记类别应为专用设备。</w:t>
      </w:r>
    </w:p>
    <w:p>
      <w:pPr>
        <w:adjustRightInd w:val="0"/>
        <w:snapToGrid w:val="0"/>
        <w:spacing w:line="360" w:lineRule="auto"/>
        <w:ind w:firstLine="640" w:firstLineChars="200"/>
        <w:outlineLvl w:val="1"/>
        <w:rPr>
          <w:rFonts w:ascii="楷体_GB2312" w:hAnsi="仿宋" w:eastAsia="楷体_GB2312"/>
          <w:sz w:val="32"/>
          <w:szCs w:val="32"/>
        </w:rPr>
      </w:pPr>
      <w:bookmarkStart w:id="19" w:name="_Toc103362023"/>
      <w:r>
        <w:rPr>
          <w:rFonts w:hint="eastAsia" w:ascii="楷体_GB2312" w:hAnsi="仿宋" w:eastAsia="楷体_GB2312"/>
          <w:sz w:val="32"/>
          <w:szCs w:val="32"/>
        </w:rPr>
        <w:t>（三）绩效</w:t>
      </w:r>
      <w:r>
        <w:rPr>
          <w:rFonts w:ascii="楷体_GB2312" w:hAnsi="仿宋" w:eastAsia="楷体_GB2312"/>
          <w:sz w:val="32"/>
          <w:szCs w:val="32"/>
        </w:rPr>
        <w:t>管理</w:t>
      </w:r>
      <w:bookmarkEnd w:id="19"/>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一是部门能够及时对绩效信息进行汇总分析整理。2021年，</w:t>
      </w:r>
      <w:r>
        <w:rPr>
          <w:rFonts w:hint="eastAsia" w:ascii="仿宋_GB2312" w:hAnsi="宋体" w:eastAsia="仿宋_GB2312" w:cs="宋体"/>
          <w:color w:val="000000"/>
          <w:kern w:val="0"/>
          <w:sz w:val="32"/>
          <w:szCs w:val="32"/>
        </w:rPr>
        <w:t>市科协</w:t>
      </w:r>
      <w:r>
        <w:rPr>
          <w:rFonts w:hint="eastAsia" w:ascii="仿宋_GB2312" w:hAnsi="仿宋_GB2312" w:eastAsia="仿宋_GB2312" w:cs="仿宋_GB2312"/>
          <w:sz w:val="32"/>
          <w:szCs w:val="32"/>
        </w:rPr>
        <w:t>根据绩效管理相关要求，</w:t>
      </w:r>
      <w:r>
        <w:rPr>
          <w:rFonts w:hint="eastAsia" w:ascii="仿宋_GB2312" w:hAnsi="仿宋" w:eastAsia="仿宋_GB2312"/>
          <w:color w:val="000000"/>
          <w:sz w:val="32"/>
          <w:szCs w:val="32"/>
        </w:rPr>
        <w:t>确定了由计划财务部牵头组织绩效监控工作推进落实、各处室及二级预算单位协调配合、第三方机构参与协助的分工协作机制。</w:t>
      </w:r>
      <w:r>
        <w:rPr>
          <w:rFonts w:hint="eastAsia" w:ascii="仿宋_GB2312" w:eastAsia="仿宋_GB2312"/>
          <w:sz w:val="32"/>
          <w:szCs w:val="32"/>
        </w:rPr>
        <w:t>各处室及所属事业单位为所负责项目的绩效管理第一责任人，负责项目绩效执行过程中资料的收集、整理，归档工作，对项目绩效信息及时进行汇总分析整理。</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eastAsia="仿宋_GB2312" w:cs="仿宋_GB2312"/>
          <w:sz w:val="32"/>
          <w:szCs w:val="32"/>
        </w:rPr>
        <w:t>二是部门对绩效目标调整、偏离情况能够及时进行矫正。2021年</w:t>
      </w:r>
      <w:r>
        <w:rPr>
          <w:rFonts w:ascii="仿宋_GB2312" w:eastAsia="仿宋_GB2312" w:cs="仿宋_GB2312"/>
          <w:sz w:val="32"/>
          <w:szCs w:val="32"/>
        </w:rPr>
        <w:t>8</w:t>
      </w:r>
      <w:r>
        <w:rPr>
          <w:rFonts w:hint="eastAsia" w:ascii="仿宋_GB2312" w:eastAsia="仿宋_GB2312" w:cs="仿宋_GB2312"/>
          <w:sz w:val="32"/>
          <w:szCs w:val="32"/>
        </w:rPr>
        <w:t>月中下旬开展半年绩效监控，统计</w:t>
      </w:r>
      <w:r>
        <w:rPr>
          <w:rFonts w:ascii="仿宋_GB2312" w:eastAsia="仿宋_GB2312" w:cs="仿宋_GB2312"/>
          <w:sz w:val="32"/>
          <w:szCs w:val="32"/>
        </w:rPr>
        <w:t>1-6</w:t>
      </w:r>
      <w:r>
        <w:rPr>
          <w:rFonts w:hint="eastAsia" w:ascii="仿宋_GB2312" w:eastAsia="仿宋_GB2312" w:cs="仿宋_GB2312"/>
          <w:sz w:val="32"/>
          <w:szCs w:val="32"/>
        </w:rPr>
        <w:t>月所有项目的绩效目标执行情况，填报项目半年监控分析表，并对是否存在偏离绩效目标的情况及偏差原因、预计年底不能完成绩效目标的原因及拟采取的改进措施等作出说明。经</w:t>
      </w:r>
      <w:r>
        <w:rPr>
          <w:rFonts w:hint="eastAsia" w:ascii="仿宋_GB2312" w:hAnsi="宋体" w:eastAsia="仿宋_GB2312" w:cs="宋体"/>
          <w:kern w:val="0"/>
          <w:sz w:val="32"/>
          <w:szCs w:val="32"/>
        </w:rPr>
        <w:t>市科协</w:t>
      </w:r>
      <w:r>
        <w:rPr>
          <w:rFonts w:hint="eastAsia" w:ascii="仿宋_GB2312" w:eastAsia="仿宋_GB2312" w:cs="仿宋_GB2312"/>
          <w:sz w:val="32"/>
          <w:szCs w:val="32"/>
        </w:rPr>
        <w:t>计划财务部汇总分析报分管领导审核后，及时报北京市财政局备案</w:t>
      </w:r>
      <w:r>
        <w:rPr>
          <w:rFonts w:hint="eastAsia" w:ascii="仿宋_GB2312" w:eastAsia="仿宋_GB2312"/>
          <w:sz w:val="32"/>
          <w:szCs w:val="32"/>
        </w:rPr>
        <w:t>。</w:t>
      </w:r>
    </w:p>
    <w:p>
      <w:pPr>
        <w:adjustRightInd w:val="0"/>
        <w:snapToGrid w:val="0"/>
        <w:spacing w:line="360" w:lineRule="auto"/>
        <w:ind w:firstLine="640" w:firstLineChars="200"/>
        <w:outlineLvl w:val="1"/>
        <w:rPr>
          <w:rFonts w:ascii="楷体_GB2312" w:hAnsi="仿宋" w:eastAsia="楷体_GB2312"/>
          <w:sz w:val="32"/>
          <w:szCs w:val="32"/>
        </w:rPr>
      </w:pPr>
      <w:bookmarkStart w:id="20" w:name="_Toc103362024"/>
      <w:r>
        <w:rPr>
          <w:rFonts w:hint="eastAsia" w:ascii="楷体_GB2312" w:hAnsi="仿宋" w:eastAsia="楷体_GB2312"/>
          <w:sz w:val="32"/>
          <w:szCs w:val="32"/>
        </w:rPr>
        <w:t>（四）结转结余率</w:t>
      </w:r>
      <w:bookmarkEnd w:id="20"/>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w:t>
      </w:r>
      <w:r>
        <w:rPr>
          <w:rFonts w:hint="eastAsia" w:ascii="仿宋_GB2312" w:hAnsi="宋体" w:eastAsia="仿宋_GB2312" w:cs="宋体"/>
          <w:kern w:val="0"/>
          <w:sz w:val="32"/>
          <w:szCs w:val="32"/>
        </w:rPr>
        <w:t>市科协</w:t>
      </w:r>
      <w:r>
        <w:rPr>
          <w:rFonts w:hint="eastAsia" w:ascii="仿宋_GB2312" w:hAnsi="仿宋_GB2312" w:eastAsia="仿宋_GB2312" w:cs="仿宋_GB2312"/>
          <w:sz w:val="32"/>
          <w:szCs w:val="32"/>
        </w:rPr>
        <w:t>年末结转</w:t>
      </w:r>
      <w:r>
        <w:rPr>
          <w:rFonts w:hint="eastAsia" w:ascii="仿宋_GB2312" w:eastAsia="仿宋_GB2312"/>
          <w:sz w:val="32"/>
          <w:szCs w:val="32"/>
        </w:rPr>
        <w:t>结余</w:t>
      </w:r>
      <w:r>
        <w:rPr>
          <w:rFonts w:hint="eastAsia" w:ascii="仿宋_GB2312" w:hAnsi="仿宋_GB2312" w:eastAsia="仿宋_GB2312" w:cs="仿宋_GB2312"/>
          <w:sz w:val="32"/>
          <w:szCs w:val="32"/>
        </w:rPr>
        <w:t>总额为</w:t>
      </w:r>
      <w:r>
        <w:rPr>
          <w:rFonts w:ascii="仿宋_GB2312" w:hAnsi="仿宋_GB2312" w:eastAsia="仿宋_GB2312" w:cs="仿宋_GB2312"/>
          <w:sz w:val="32"/>
          <w:szCs w:val="32"/>
        </w:rPr>
        <w:t>3,184.545682</w:t>
      </w:r>
      <w:r>
        <w:rPr>
          <w:rFonts w:hint="eastAsia" w:ascii="仿宋_GB2312" w:hAnsi="仿宋_GB2312" w:eastAsia="仿宋_GB2312" w:cs="仿宋_GB2312"/>
          <w:sz w:val="32"/>
          <w:szCs w:val="32"/>
        </w:rPr>
        <w:t>万元，支出预算数为</w:t>
      </w:r>
      <w:r>
        <w:rPr>
          <w:rFonts w:ascii="仿宋_GB2312" w:hAnsi="仿宋_GB2312" w:eastAsia="仿宋_GB2312" w:cs="仿宋_GB2312"/>
          <w:sz w:val="32"/>
          <w:szCs w:val="32"/>
        </w:rPr>
        <w:t>37,065.319689</w:t>
      </w:r>
      <w:r>
        <w:rPr>
          <w:rFonts w:hint="eastAsia" w:ascii="仿宋_GB2312" w:hAnsi="仿宋_GB2312" w:eastAsia="仿宋_GB2312" w:cs="仿宋_GB2312"/>
          <w:sz w:val="32"/>
          <w:szCs w:val="32"/>
        </w:rPr>
        <w:t>万元。2020年度部门结转结余率</w:t>
      </w:r>
      <w:r>
        <w:rPr>
          <w:rFonts w:ascii="仿宋_GB2312" w:hAnsi="仿宋_GB2312" w:eastAsia="仿宋_GB2312" w:cs="仿宋_GB2312"/>
          <w:sz w:val="32"/>
          <w:szCs w:val="32"/>
        </w:rPr>
        <w:t>8.59%</w:t>
      </w:r>
      <w:r>
        <w:rPr>
          <w:rFonts w:hint="eastAsia" w:ascii="仿宋_GB2312" w:hAnsi="仿宋_GB2312" w:eastAsia="仿宋_GB2312" w:cs="仿宋_GB2312"/>
          <w:sz w:val="32"/>
          <w:szCs w:val="32"/>
        </w:rPr>
        <w:t>（=结转结余总额/支出预算数*100%）。</w:t>
      </w:r>
    </w:p>
    <w:p>
      <w:pPr>
        <w:adjustRightInd w:val="0"/>
        <w:snapToGrid w:val="0"/>
        <w:spacing w:line="360" w:lineRule="auto"/>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年度，</w:t>
      </w:r>
      <w:r>
        <w:rPr>
          <w:rFonts w:hint="eastAsia" w:ascii="仿宋_GB2312" w:hAnsi="宋体" w:eastAsia="仿宋_GB2312" w:cs="宋体"/>
          <w:kern w:val="0"/>
          <w:sz w:val="32"/>
          <w:szCs w:val="32"/>
        </w:rPr>
        <w:t>市科协年</w:t>
      </w:r>
      <w:r>
        <w:rPr>
          <w:rFonts w:hint="eastAsia" w:ascii="仿宋_GB2312" w:hAnsi="仿宋_GB2312" w:eastAsia="仿宋_GB2312" w:cs="仿宋_GB2312"/>
          <w:sz w:val="32"/>
          <w:szCs w:val="32"/>
        </w:rPr>
        <w:t>末结转</w:t>
      </w:r>
      <w:r>
        <w:rPr>
          <w:rFonts w:hint="eastAsia" w:ascii="仿宋_GB2312" w:eastAsia="仿宋_GB2312"/>
          <w:sz w:val="32"/>
          <w:szCs w:val="32"/>
        </w:rPr>
        <w:t>结余</w:t>
      </w:r>
      <w:r>
        <w:rPr>
          <w:rFonts w:hint="eastAsia" w:ascii="仿宋_GB2312" w:hAnsi="仿宋_GB2312" w:eastAsia="仿宋_GB2312" w:cs="仿宋_GB2312"/>
          <w:sz w:val="32"/>
          <w:szCs w:val="32"/>
        </w:rPr>
        <w:t>总额为</w:t>
      </w:r>
      <w:r>
        <w:rPr>
          <w:rFonts w:ascii="仿宋_GB2312" w:hAnsi="仿宋_GB2312" w:eastAsia="仿宋_GB2312" w:cs="仿宋_GB2312"/>
          <w:sz w:val="32"/>
          <w:szCs w:val="32"/>
        </w:rPr>
        <w:t>4,833.397300</w:t>
      </w:r>
      <w:r>
        <w:rPr>
          <w:rFonts w:hint="eastAsia" w:ascii="仿宋_GB2312" w:hAnsi="仿宋_GB2312" w:eastAsia="仿宋_GB2312" w:cs="仿宋_GB2312"/>
          <w:sz w:val="32"/>
          <w:szCs w:val="32"/>
        </w:rPr>
        <w:t>万元，支出全年预算数</w:t>
      </w:r>
      <w:r>
        <w:rPr>
          <w:rFonts w:ascii="仿宋_GB2312" w:hAnsi="仿宋_GB2312" w:eastAsia="仿宋_GB2312" w:cs="仿宋_GB2312"/>
          <w:sz w:val="32"/>
          <w:szCs w:val="32"/>
        </w:rPr>
        <w:t>42,268.739040</w:t>
      </w:r>
      <w:r>
        <w:rPr>
          <w:rFonts w:hint="eastAsia" w:ascii="仿宋_GB2312" w:hAnsi="仿宋_GB2312" w:eastAsia="仿宋_GB2312" w:cs="仿宋_GB2312"/>
          <w:sz w:val="32"/>
          <w:szCs w:val="32"/>
        </w:rPr>
        <w:t>万元，2021年度部门结转结余率为</w:t>
      </w:r>
      <w:r>
        <w:rPr>
          <w:rFonts w:ascii="仿宋_GB2312" w:hAnsi="仿宋_GB2312" w:eastAsia="仿宋_GB2312" w:cs="仿宋_GB2312"/>
          <w:sz w:val="32"/>
          <w:szCs w:val="32"/>
        </w:rPr>
        <w:t>11.43%</w:t>
      </w:r>
      <w:r>
        <w:rPr>
          <w:rFonts w:hint="eastAsia" w:ascii="仿宋_GB2312" w:hAnsi="仿宋_GB2312" w:eastAsia="仿宋_GB2312" w:cs="仿宋_GB2312"/>
          <w:sz w:val="32"/>
          <w:szCs w:val="32"/>
        </w:rPr>
        <w:t>（=结转结余总额/支出全年预算数*100%）。</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综上，2021年年末结转结余率高于上年结转结余率</w:t>
      </w:r>
      <w:r>
        <w:rPr>
          <w:rFonts w:ascii="仿宋_GB2312" w:hAnsi="仿宋_GB2312" w:eastAsia="仿宋_GB2312" w:cs="仿宋_GB2312"/>
          <w:sz w:val="32"/>
          <w:szCs w:val="32"/>
        </w:rPr>
        <w:t>2.84</w:t>
      </w:r>
      <w:r>
        <w:rPr>
          <w:rFonts w:hint="eastAsia" w:ascii="仿宋_GB2312" w:hAnsi="仿宋_GB2312" w:eastAsia="仿宋_GB2312" w:cs="仿宋_GB2312"/>
          <w:sz w:val="32"/>
          <w:szCs w:val="32"/>
        </w:rPr>
        <w:t>个百分点。2021年度，项目经费结余的</w:t>
      </w:r>
      <w:r>
        <w:rPr>
          <w:rFonts w:hint="eastAsia" w:ascii="仿宋_GB2312" w:eastAsia="仿宋_GB2312"/>
          <w:sz w:val="32"/>
          <w:szCs w:val="32"/>
        </w:rPr>
        <w:t>主要</w:t>
      </w:r>
      <w:r>
        <w:rPr>
          <w:rFonts w:hint="eastAsia" w:ascii="仿宋_GB2312" w:hAnsi="仿宋_GB2312" w:eastAsia="仿宋_GB2312" w:cs="仿宋_GB2312"/>
          <w:sz w:val="32"/>
          <w:szCs w:val="32"/>
        </w:rPr>
        <w:t>原因是：受疫情影响，科学技术支出、科普活动、青少年科技活动、学术交流活动、科技馆站、其他科学技术普及支出、其他科学技术支出等项目存在一定程度结余；基本经费结余的</w:t>
      </w:r>
      <w:r>
        <w:rPr>
          <w:rFonts w:hint="eastAsia" w:ascii="仿宋_GB2312" w:eastAsia="仿宋_GB2312"/>
          <w:sz w:val="32"/>
          <w:szCs w:val="32"/>
        </w:rPr>
        <w:t>主要</w:t>
      </w:r>
      <w:r>
        <w:rPr>
          <w:rFonts w:hint="eastAsia" w:ascii="仿宋_GB2312" w:hAnsi="仿宋_GB2312" w:eastAsia="仿宋_GB2312" w:cs="仿宋_GB2312"/>
          <w:sz w:val="32"/>
          <w:szCs w:val="32"/>
        </w:rPr>
        <w:t>原因是：在职人员离职、离休人员去世，社会保险结余。改进措施：2</w:t>
      </w:r>
      <w:r>
        <w:rPr>
          <w:rFonts w:ascii="仿宋_GB2312" w:hAnsi="仿宋_GB2312" w:eastAsia="仿宋_GB2312" w:cs="仿宋_GB2312"/>
          <w:sz w:val="32"/>
          <w:szCs w:val="32"/>
        </w:rPr>
        <w:t>022</w:t>
      </w:r>
      <w:r>
        <w:rPr>
          <w:rFonts w:hint="eastAsia" w:ascii="仿宋_GB2312" w:hAnsi="仿宋_GB2312" w:eastAsia="仿宋_GB2312" w:cs="仿宋_GB2312"/>
          <w:sz w:val="32"/>
          <w:szCs w:val="32"/>
        </w:rPr>
        <w:t>年，将按照工作方案，尽可能开展形式多样的科普活动、增加学术交流活动次数、举办青少年科技创新活动，相应消化结转结余资金。</w:t>
      </w:r>
    </w:p>
    <w:p>
      <w:pPr>
        <w:adjustRightInd w:val="0"/>
        <w:snapToGrid w:val="0"/>
        <w:spacing w:line="360" w:lineRule="auto"/>
        <w:ind w:firstLine="640" w:firstLineChars="200"/>
        <w:outlineLvl w:val="1"/>
        <w:rPr>
          <w:rFonts w:ascii="仿宋_GB2312" w:hAnsi="仿宋_GB2312" w:eastAsia="仿宋_GB2312" w:cs="仿宋_GB2312"/>
          <w:sz w:val="32"/>
          <w:szCs w:val="32"/>
        </w:rPr>
      </w:pPr>
      <w:bookmarkStart w:id="21" w:name="_Toc103362025"/>
      <w:r>
        <w:rPr>
          <w:rFonts w:hint="eastAsia" w:ascii="楷体_GB2312" w:hAnsi="仿宋" w:eastAsia="楷体_GB2312"/>
          <w:sz w:val="32"/>
          <w:szCs w:val="32"/>
        </w:rPr>
        <w:t>（五）部门</w:t>
      </w:r>
      <w:r>
        <w:rPr>
          <w:rFonts w:ascii="楷体_GB2312" w:hAnsi="仿宋" w:eastAsia="楷体_GB2312"/>
          <w:sz w:val="32"/>
          <w:szCs w:val="32"/>
        </w:rPr>
        <w:t>预决算差异率</w:t>
      </w:r>
      <w:bookmarkEnd w:id="21"/>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2021年度</w:t>
      </w:r>
      <w:r>
        <w:rPr>
          <w:rFonts w:hint="eastAsia" w:ascii="仿宋_GB2312" w:hAnsi="宋体" w:eastAsia="仿宋_GB2312" w:cs="宋体"/>
          <w:color w:val="000000"/>
          <w:kern w:val="0"/>
          <w:sz w:val="32"/>
          <w:szCs w:val="32"/>
        </w:rPr>
        <w:t>，</w:t>
      </w:r>
      <w:r>
        <w:rPr>
          <w:rFonts w:hint="eastAsia" w:ascii="仿宋_GB2312" w:hAnsi="宋体" w:eastAsia="仿宋_GB2312" w:cs="宋体"/>
          <w:kern w:val="0"/>
          <w:sz w:val="32"/>
          <w:szCs w:val="32"/>
        </w:rPr>
        <w:t>市科协</w:t>
      </w:r>
      <w:r>
        <w:rPr>
          <w:rFonts w:hint="eastAsia" w:ascii="仿宋_GB2312" w:hAnsi="宋体" w:eastAsia="仿宋_GB2312" w:cs="宋体"/>
          <w:color w:val="000000"/>
          <w:kern w:val="0"/>
          <w:sz w:val="32"/>
          <w:szCs w:val="32"/>
        </w:rPr>
        <w:t>年初</w:t>
      </w:r>
      <w:r>
        <w:rPr>
          <w:rFonts w:hint="eastAsia" w:ascii="仿宋_GB2312" w:hAnsi="仿宋_GB2312" w:eastAsia="仿宋_GB2312" w:cs="仿宋_GB2312"/>
          <w:sz w:val="32"/>
          <w:szCs w:val="32"/>
        </w:rPr>
        <w:t>预算数为</w:t>
      </w:r>
      <w:r>
        <w:rPr>
          <w:rFonts w:ascii="仿宋_GB2312" w:hAnsi="仿宋_GB2312" w:eastAsia="仿宋_GB2312" w:cs="仿宋_GB2312"/>
          <w:sz w:val="32"/>
          <w:szCs w:val="32"/>
        </w:rPr>
        <w:t>39</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983.241175</w:t>
      </w:r>
      <w:r>
        <w:rPr>
          <w:rFonts w:hint="eastAsia" w:ascii="仿宋_GB2312" w:hAnsi="仿宋_GB2312" w:eastAsia="仿宋_GB2312" w:cs="仿宋_GB2312"/>
          <w:sz w:val="32"/>
          <w:szCs w:val="32"/>
        </w:rPr>
        <w:t>万元，年末部门决算数为</w:t>
      </w:r>
      <w:r>
        <w:rPr>
          <w:rFonts w:ascii="仿宋_GB2312" w:hAnsi="仿宋_GB2312" w:eastAsia="仿宋_GB2312" w:cs="仿宋_GB2312"/>
          <w:sz w:val="32"/>
          <w:szCs w:val="32"/>
        </w:rPr>
        <w:t>37,259.752792</w:t>
      </w:r>
      <w:r>
        <w:rPr>
          <w:rFonts w:hint="eastAsia" w:ascii="仿宋_GB2312" w:hAnsi="仿宋_GB2312" w:eastAsia="仿宋_GB2312" w:cs="仿宋_GB2312"/>
          <w:sz w:val="32"/>
          <w:szCs w:val="32"/>
        </w:rPr>
        <w:t>万元，部门预决算</w:t>
      </w:r>
      <w:r>
        <w:rPr>
          <w:rFonts w:hint="eastAsia" w:ascii="仿宋_GB2312" w:eastAsia="仿宋_GB2312"/>
          <w:sz w:val="32"/>
          <w:szCs w:val="32"/>
        </w:rPr>
        <w:t>差异</w:t>
      </w:r>
      <w:r>
        <w:rPr>
          <w:rFonts w:hint="eastAsia" w:ascii="仿宋_GB2312" w:hAnsi="仿宋_GB2312" w:eastAsia="仿宋_GB2312" w:cs="仿宋_GB2312"/>
          <w:sz w:val="32"/>
          <w:szCs w:val="32"/>
        </w:rPr>
        <w:t>率为</w:t>
      </w:r>
      <w:r>
        <w:rPr>
          <w:rFonts w:ascii="仿宋_GB2312" w:hAnsi="仿宋_GB2312" w:eastAsia="仿宋_GB2312" w:cs="仿宋_GB2312"/>
          <w:sz w:val="32"/>
          <w:szCs w:val="32"/>
        </w:rPr>
        <w:t>6.81%[=</w:t>
      </w:r>
      <w:r>
        <w:rPr>
          <w:rFonts w:hint="eastAsia" w:ascii="仿宋_GB2312" w:hAnsi="仿宋_GB2312" w:eastAsia="仿宋_GB2312" w:cs="仿宋_GB2312"/>
          <w:sz w:val="32"/>
          <w:szCs w:val="32"/>
        </w:rPr>
        <w:t>（部门年初预算数-部门决算数）/部门年初预算数*100%]，</w:t>
      </w:r>
      <w:r>
        <w:rPr>
          <w:rFonts w:hint="eastAsia" w:ascii="仿宋_GB2312" w:hAnsi="宋体" w:eastAsia="仿宋_GB2312" w:cs="宋体"/>
          <w:color w:val="000000"/>
          <w:kern w:val="0"/>
          <w:sz w:val="32"/>
          <w:szCs w:val="32"/>
        </w:rPr>
        <w:t>远低于</w:t>
      </w:r>
      <w:r>
        <w:rPr>
          <w:rFonts w:hint="eastAsia" w:ascii="仿宋_GB2312" w:hAnsi="仿宋_GB2312" w:eastAsia="仿宋_GB2312" w:cs="仿宋_GB2312"/>
          <w:sz w:val="32"/>
          <w:szCs w:val="32"/>
        </w:rPr>
        <w:t>市级平均差异率（28.3</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w:t>
      </w:r>
    </w:p>
    <w:p>
      <w:pPr>
        <w:adjustRightInd w:val="0"/>
        <w:snapToGrid w:val="0"/>
        <w:spacing w:line="360" w:lineRule="auto"/>
        <w:ind w:firstLine="640" w:firstLineChars="200"/>
        <w:outlineLvl w:val="0"/>
        <w:rPr>
          <w:rFonts w:ascii="黑体" w:hAnsi="黑体" w:eastAsia="黑体"/>
          <w:sz w:val="32"/>
          <w:szCs w:val="32"/>
        </w:rPr>
      </w:pPr>
      <w:bookmarkStart w:id="22" w:name="_Toc103362026"/>
      <w:r>
        <w:rPr>
          <w:rFonts w:hint="eastAsia" w:ascii="黑体" w:hAnsi="黑体" w:eastAsia="黑体"/>
          <w:sz w:val="32"/>
          <w:szCs w:val="32"/>
        </w:rPr>
        <w:t>五、总体</w:t>
      </w:r>
      <w:r>
        <w:rPr>
          <w:rFonts w:ascii="黑体" w:hAnsi="黑体" w:eastAsia="黑体"/>
          <w:sz w:val="32"/>
          <w:szCs w:val="32"/>
        </w:rPr>
        <w:t>评价结论</w:t>
      </w:r>
      <w:bookmarkEnd w:id="22"/>
    </w:p>
    <w:p>
      <w:pPr>
        <w:adjustRightInd w:val="0"/>
        <w:snapToGrid w:val="0"/>
        <w:spacing w:line="360" w:lineRule="auto"/>
        <w:ind w:firstLine="640" w:firstLineChars="200"/>
        <w:outlineLvl w:val="1"/>
        <w:rPr>
          <w:rFonts w:ascii="楷体_GB2312" w:hAnsi="仿宋" w:eastAsia="楷体_GB2312"/>
          <w:sz w:val="32"/>
          <w:szCs w:val="32"/>
        </w:rPr>
      </w:pPr>
      <w:bookmarkStart w:id="23" w:name="_Toc103362027"/>
      <w:r>
        <w:rPr>
          <w:rFonts w:hint="eastAsia" w:ascii="楷体_GB2312" w:hAnsi="仿宋" w:eastAsia="楷体_GB2312"/>
          <w:sz w:val="32"/>
          <w:szCs w:val="32"/>
        </w:rPr>
        <w:t>（一）评价</w:t>
      </w:r>
      <w:r>
        <w:rPr>
          <w:rFonts w:ascii="楷体_GB2312" w:hAnsi="仿宋" w:eastAsia="楷体_GB2312"/>
          <w:sz w:val="32"/>
          <w:szCs w:val="32"/>
        </w:rPr>
        <w:t>得分</w:t>
      </w:r>
      <w:r>
        <w:rPr>
          <w:rFonts w:hint="eastAsia" w:ascii="楷体_GB2312" w:hAnsi="仿宋" w:eastAsia="楷体_GB2312"/>
          <w:sz w:val="32"/>
          <w:szCs w:val="32"/>
        </w:rPr>
        <w:t>情况</w:t>
      </w:r>
      <w:bookmarkEnd w:id="23"/>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市科协</w:t>
      </w:r>
      <w:r>
        <w:rPr>
          <w:rFonts w:hint="eastAsia" w:ascii="仿宋_GB2312" w:hAnsi="仿宋_GB2312" w:eastAsia="仿宋_GB2312" w:cs="仿宋_GB2312"/>
          <w:sz w:val="32"/>
          <w:szCs w:val="32"/>
        </w:rPr>
        <w:t>部门整体绩效评价得分为</w:t>
      </w:r>
      <w:r>
        <w:rPr>
          <w:rFonts w:ascii="仿宋_GB2312" w:hAnsi="仿宋_GB2312" w:eastAsia="仿宋_GB2312" w:cs="仿宋_GB2312"/>
          <w:sz w:val="32"/>
          <w:szCs w:val="32"/>
        </w:rPr>
        <w:t>94.99</w:t>
      </w:r>
      <w:r>
        <w:rPr>
          <w:rFonts w:hint="eastAsia" w:ascii="仿宋_GB2312" w:hAnsi="仿宋_GB2312" w:eastAsia="仿宋_GB2312" w:cs="仿宋_GB2312"/>
          <w:sz w:val="32"/>
          <w:szCs w:val="32"/>
        </w:rPr>
        <w:t>分，得分及扣分原因见附件。</w:t>
      </w:r>
    </w:p>
    <w:p>
      <w:pPr>
        <w:adjustRightInd w:val="0"/>
        <w:snapToGrid w:val="0"/>
        <w:spacing w:line="360" w:lineRule="auto"/>
        <w:ind w:firstLine="640" w:firstLineChars="200"/>
        <w:outlineLvl w:val="1"/>
        <w:rPr>
          <w:rFonts w:ascii="楷体_GB2312" w:hAnsi="仿宋" w:eastAsia="楷体_GB2312"/>
          <w:sz w:val="32"/>
          <w:szCs w:val="32"/>
        </w:rPr>
      </w:pPr>
      <w:bookmarkStart w:id="24" w:name="_Toc103362028"/>
      <w:r>
        <w:rPr>
          <w:rFonts w:hint="eastAsia" w:ascii="楷体_GB2312" w:hAnsi="仿宋" w:eastAsia="楷体_GB2312"/>
          <w:sz w:val="32"/>
          <w:szCs w:val="32"/>
        </w:rPr>
        <w:t>（二）存在的问题及原因分析</w:t>
      </w:r>
      <w:bookmarkEnd w:id="24"/>
    </w:p>
    <w:p>
      <w:pPr>
        <w:adjustRightInd w:val="0"/>
        <w:snapToGrid w:val="0"/>
        <w:spacing w:line="360" w:lineRule="auto"/>
        <w:ind w:firstLine="643" w:firstLineChars="200"/>
        <w:outlineLvl w:val="2"/>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个别项目合同约定的一次性支付条款存在支出风险</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评价发现，“国际科技组织与海外智力服务北京科技创新中心建设项目”“科技类专业智库群建设项目”签订的合同约定的支付条款均为一次性支付，且存在合同中约定事项量化细化程度不足、未约定成果验收事项的情况，不利于项目资金支出风险的有效把控。</w:t>
      </w:r>
    </w:p>
    <w:p>
      <w:pPr>
        <w:adjustRightInd w:val="0"/>
        <w:snapToGrid w:val="0"/>
        <w:spacing w:line="360" w:lineRule="auto"/>
        <w:ind w:firstLine="643" w:firstLineChars="200"/>
        <w:outlineLvl w:val="2"/>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个别项目工作进展滞后，年度产出及效果未达预期</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评价发现，</w:t>
      </w:r>
      <w:r>
        <w:rPr>
          <w:rFonts w:hint="eastAsia" w:ascii="仿宋_GB2312" w:hAnsi="宋体" w:eastAsia="仿宋_GB2312" w:cs="宋体"/>
          <w:color w:val="000000"/>
          <w:kern w:val="0"/>
          <w:sz w:val="32"/>
          <w:szCs w:val="32"/>
        </w:rPr>
        <w:t>个别项目存在工作进展稍有滞后的情况，如，科协频道项目，受疫情持续影响，时效指标“科学健康人系列活动”于2022年3月6日完成；科技社团能力提升项目，进度指标“完成园区基础性服务”“完成企业需求对接会”时间为2022年1月13日，晚于年度指标值2021年12月底，同时</w:t>
      </w:r>
      <w:r>
        <w:rPr>
          <w:rFonts w:hint="eastAsia" w:ascii="仿宋_GB2312" w:eastAsia="仿宋_GB2312"/>
          <w:sz w:val="32"/>
          <w:szCs w:val="32"/>
        </w:rPr>
        <w:t>受疫情影响，服务郊区线下活动调整为线上开展</w:t>
      </w:r>
      <w:r>
        <w:rPr>
          <w:rFonts w:hint="eastAsia" w:ascii="仿宋_GB2312" w:hAnsi="宋体" w:eastAsia="仿宋_GB2312" w:cs="宋体"/>
          <w:color w:val="000000"/>
          <w:kern w:val="0"/>
          <w:sz w:val="32"/>
          <w:szCs w:val="32"/>
        </w:rPr>
        <w:t>。类似情况的还有“科协网站运行维护、网络安全升级和网络意识形态监测、青少年科技后备人才早期培养计划、青少年科学思想、科学方法教育与研究-北京科技教育创新研究院</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等项目的验收时间未按原计划的时效指标完成，晚于指标值。相应的部分工作验收延迟，年度产出及效果未达预期。</w:t>
      </w:r>
    </w:p>
    <w:p>
      <w:pPr>
        <w:adjustRightInd w:val="0"/>
        <w:snapToGrid w:val="0"/>
        <w:spacing w:line="360" w:lineRule="auto"/>
        <w:ind w:firstLine="640" w:firstLineChars="200"/>
        <w:outlineLvl w:val="0"/>
        <w:rPr>
          <w:rFonts w:ascii="黑体" w:hAnsi="黑体" w:eastAsia="黑体"/>
          <w:sz w:val="32"/>
          <w:szCs w:val="32"/>
        </w:rPr>
      </w:pPr>
      <w:bookmarkStart w:id="25" w:name="_Toc103362029"/>
      <w:r>
        <w:rPr>
          <w:rFonts w:hint="eastAsia" w:ascii="黑体" w:hAnsi="黑体" w:eastAsia="黑体"/>
          <w:sz w:val="32"/>
          <w:szCs w:val="32"/>
        </w:rPr>
        <w:t>六、措施建议</w:t>
      </w:r>
      <w:bookmarkEnd w:id="25"/>
    </w:p>
    <w:p>
      <w:pPr>
        <w:adjustRightInd w:val="0"/>
        <w:snapToGrid w:val="0"/>
        <w:spacing w:line="360" w:lineRule="auto"/>
        <w:ind w:firstLine="643" w:firstLineChars="200"/>
        <w:outlineLvl w:val="2"/>
        <w:rPr>
          <w:rFonts w:ascii="仿宋_GB2312" w:eastAsia="仿宋_GB2312"/>
          <w:b/>
          <w:bCs/>
          <w:sz w:val="32"/>
          <w:szCs w:val="32"/>
        </w:rPr>
      </w:pPr>
      <w:r>
        <w:rPr>
          <w:rFonts w:hint="eastAsia" w:ascii="仿宋_GB2312" w:eastAsia="仿宋_GB2312"/>
          <w:b/>
          <w:bCs/>
          <w:sz w:val="32"/>
          <w:szCs w:val="32"/>
        </w:rPr>
        <w:t>（一）合理安排预算资金支出，规范合同条款的签订</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一是项目资金支出进度应尽可能与实施进度一致，便于项目执行过程中对项目质量、进展的把控，保障资金支出安全；二是部分委托第三方或者有第三方协助开展的工作，资金支付避免一次性付清，可约定阶段性、项目验收完支付；三是签订合同应细化、量化工作量，约定项目执行过程中可能出现风险的解决方法，如有合同中不能详尽约定的事项可增加补充协议。</w:t>
      </w:r>
    </w:p>
    <w:p>
      <w:pPr>
        <w:adjustRightInd w:val="0"/>
        <w:snapToGrid w:val="0"/>
        <w:spacing w:line="360" w:lineRule="auto"/>
        <w:ind w:firstLine="643" w:firstLineChars="200"/>
        <w:outlineLvl w:val="2"/>
        <w:rPr>
          <w:rFonts w:ascii="仿宋_GB2312" w:eastAsia="仿宋_GB2312"/>
          <w:b/>
          <w:bCs/>
          <w:sz w:val="32"/>
          <w:szCs w:val="32"/>
        </w:rPr>
      </w:pPr>
      <w:r>
        <w:rPr>
          <w:rFonts w:hint="eastAsia" w:ascii="仿宋_GB2312" w:eastAsia="仿宋_GB2312"/>
          <w:b/>
          <w:bCs/>
          <w:sz w:val="32"/>
          <w:szCs w:val="32"/>
        </w:rPr>
        <w:t>（二）根据项目特点制定符合项目“阶段性”的绩效指标，重点提升绩效时效指标设置的规范性</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一是结合项目实际开展情况，分阶段制定项目绩效指标，便于后续工作开展被动情况发生，若遇客观原因确不能如期完成的，应及时履行相应的调整手续；二是定期开展项目绩效相关培训工作，提升项目负责人绩效管理意识和项目绩效管理水平。</w:t>
      </w:r>
    </w:p>
    <w:p>
      <w:pPr>
        <w:adjustRightInd w:val="0"/>
        <w:snapToGrid w:val="0"/>
        <w:spacing w:line="360" w:lineRule="auto"/>
        <w:ind w:firstLine="640" w:firstLineChars="200"/>
        <w:outlineLvl w:val="0"/>
        <w:rPr>
          <w:rFonts w:ascii="黑体" w:hAnsi="黑体" w:eastAsia="黑体"/>
          <w:sz w:val="32"/>
          <w:szCs w:val="32"/>
        </w:rPr>
      </w:pPr>
      <w:r>
        <w:rPr>
          <w:rFonts w:hint="eastAsia" w:ascii="黑体" w:hAnsi="黑体" w:eastAsia="黑体"/>
          <w:sz w:val="32"/>
          <w:szCs w:val="32"/>
        </w:rPr>
        <w:t>七、附件</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附件1：2021年度部门整体绩效评价指标体系评分表</w:t>
      </w: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pStyle w:val="2"/>
        <w:rPr>
          <w:rFonts w:hint="eastAsia" w:ascii="仿宋_GB2312" w:hAnsi="仿宋_GB2312" w:eastAsia="仿宋_GB2312" w:cs="仿宋_GB2312"/>
          <w:sz w:val="32"/>
          <w:szCs w:val="32"/>
        </w:rPr>
        <w:sectPr>
          <w:pgSz w:w="11906" w:h="16838"/>
          <w:pgMar w:top="1418" w:right="1701" w:bottom="1418" w:left="1701" w:header="851" w:footer="1134" w:gutter="0"/>
          <w:pgNumType w:start="1"/>
          <w:cols w:space="425" w:num="1"/>
          <w:docGrid w:type="lines" w:linePitch="312" w:charSpace="0"/>
        </w:sectPr>
      </w:pPr>
    </w:p>
    <w:tbl>
      <w:tblPr>
        <w:tblW w:w="141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87"/>
        <w:gridCol w:w="877"/>
        <w:gridCol w:w="1811"/>
        <w:gridCol w:w="4720"/>
        <w:gridCol w:w="3094"/>
        <w:gridCol w:w="720"/>
        <w:gridCol w:w="2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54" w:hRule="atLeast"/>
        </w:trPr>
        <w:tc>
          <w:tcPr>
            <w:tcW w:w="0" w:type="auto"/>
            <w:gridSpan w:val="7"/>
            <w:tcBorders>
              <w:top w:val="nil"/>
              <w:left w:val="nil"/>
              <w:bottom w:val="nil"/>
              <w:right w:val="nil"/>
            </w:tcBorders>
            <w:shd w:val="clear"/>
            <w:noWrap/>
            <w:vAlign w:val="center"/>
          </w:tcPr>
          <w:p>
            <w:pPr>
              <w:pStyle w:val="2"/>
              <w:ind w:left="0" w:leftChars="0" w:firstLine="0" w:firstLineChars="0"/>
              <w:rPr>
                <w:rFonts w:hint="eastAsia" w:ascii="华文中宋" w:hAnsi="华文中宋" w:eastAsia="华文中宋" w:cs="华文中宋"/>
                <w:i w:val="0"/>
                <w:iCs w:val="0"/>
                <w:color w:val="000000"/>
                <w:kern w:val="0"/>
                <w:sz w:val="32"/>
                <w:szCs w:val="32"/>
                <w:u w:val="none"/>
                <w:bdr w:val="none" w:color="auto" w:sz="0" w:space="0"/>
                <w:lang w:val="en-US" w:eastAsia="zh-CN" w:bidi="ar"/>
              </w:rPr>
            </w:pPr>
            <w:r>
              <w:rPr>
                <w:rFonts w:hint="eastAsia" w:ascii="黑体" w:hAnsi="宋体" w:eastAsia="黑体" w:cs="黑体"/>
                <w:i w:val="0"/>
                <w:iCs w:val="0"/>
                <w:color w:val="000000"/>
                <w:kern w:val="0"/>
                <w:sz w:val="28"/>
                <w:szCs w:val="28"/>
                <w:u w:val="none"/>
                <w:lang w:val="en-US" w:eastAsia="zh-CN" w:bidi="ar"/>
              </w:rPr>
              <w:t>附件1</w:t>
            </w:r>
          </w:p>
          <w:p>
            <w:pPr>
              <w:keepNext w:val="0"/>
              <w:keepLines w:val="0"/>
              <w:widowControl/>
              <w:suppressLineNumbers w:val="0"/>
              <w:jc w:val="center"/>
              <w:textAlignment w:val="center"/>
              <w:rPr>
                <w:rFonts w:ascii="华文中宋" w:hAnsi="华文中宋" w:eastAsia="华文中宋" w:cs="华文中宋"/>
                <w:i w:val="0"/>
                <w:iCs w:val="0"/>
                <w:color w:val="000000"/>
                <w:sz w:val="32"/>
                <w:szCs w:val="32"/>
                <w:u w:val="none"/>
              </w:rPr>
            </w:pPr>
            <w:r>
              <w:rPr>
                <w:rFonts w:hint="eastAsia" w:ascii="华文中宋" w:hAnsi="华文中宋" w:eastAsia="华文中宋" w:cs="华文中宋"/>
                <w:i w:val="0"/>
                <w:iCs w:val="0"/>
                <w:color w:val="000000"/>
                <w:kern w:val="0"/>
                <w:sz w:val="32"/>
                <w:szCs w:val="32"/>
                <w:u w:val="none"/>
                <w:bdr w:val="none" w:color="auto" w:sz="0" w:space="0"/>
                <w:lang w:val="en-US" w:eastAsia="zh-CN" w:bidi="ar"/>
              </w:rPr>
              <w:t xml:space="preserve">2021年度部门整体绩效评价指标体系评分表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3" w:hRule="atLeast"/>
        </w:trPr>
        <w:tc>
          <w:tcPr>
            <w:tcW w:w="8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一级指标</w:t>
            </w:r>
          </w:p>
        </w:tc>
        <w:tc>
          <w:tcPr>
            <w:tcW w:w="8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二级指标</w:t>
            </w: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三级指标</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指标解释</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评分标准</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得分</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扣分原因说明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16" w:hRule="atLeast"/>
        </w:trPr>
        <w:tc>
          <w:tcPr>
            <w:tcW w:w="8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当年预算执行情况（20分）</w:t>
            </w:r>
          </w:p>
        </w:tc>
        <w:tc>
          <w:tcPr>
            <w:tcW w:w="268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预算执行率（20分）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部门全年执行数与全年预算数的比率。预算资金包括部门（单位）的基本支出、项目支出及其他资金。</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得分计算方法应用全年执行数/全年预算数*20，得分最高不能超过该指标分值上限（20分）。</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17.63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部门预算执行率为88.15%，得分=88.15%*20=17.63，扣2.37分。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3" w:hRule="atLeast"/>
        </w:trPr>
        <w:tc>
          <w:tcPr>
            <w:tcW w:w="88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整体绩效目标实现情况（60）</w:t>
            </w:r>
          </w:p>
        </w:tc>
        <w:tc>
          <w:tcPr>
            <w:tcW w:w="87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产出</w:t>
            </w:r>
            <w:r>
              <w:rPr>
                <w:rStyle w:val="34"/>
                <w:bdr w:val="none" w:color="auto" w:sz="0" w:space="0"/>
                <w:lang w:val="en-US" w:eastAsia="zh-CN" w:bidi="ar"/>
              </w:rPr>
              <w:br w:type="textWrapping"/>
            </w:r>
            <w:r>
              <w:rPr>
                <w:rStyle w:val="34"/>
                <w:bdr w:val="none" w:color="auto" w:sz="0" w:space="0"/>
                <w:lang w:val="en-US" w:eastAsia="zh-CN" w:bidi="ar"/>
              </w:rPr>
              <w:t>（30分）</w:t>
            </w: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部门年度产出数量</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（10分）</w:t>
            </w:r>
          </w:p>
        </w:tc>
        <w:tc>
          <w:tcPr>
            <w:tcW w:w="472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35"/>
                <w:bdr w:val="none" w:color="auto" w:sz="0" w:space="0"/>
                <w:lang w:val="en-US" w:eastAsia="zh-CN" w:bidi="ar"/>
              </w:rPr>
              <w:t>产出数量</w:t>
            </w:r>
            <w:r>
              <w:rPr>
                <w:rStyle w:val="34"/>
                <w:bdr w:val="none" w:color="auto" w:sz="0" w:space="0"/>
                <w:lang w:val="en-US" w:eastAsia="zh-CN" w:bidi="ar"/>
              </w:rPr>
              <w:t>：部门2021年度完成的各项工作任务及重点项目数量的达标情况。</w:t>
            </w:r>
            <w:r>
              <w:rPr>
                <w:rStyle w:val="34"/>
                <w:bdr w:val="none" w:color="auto" w:sz="0" w:space="0"/>
                <w:lang w:val="en-US" w:eastAsia="zh-CN" w:bidi="ar"/>
              </w:rPr>
              <w:br w:type="textWrapping"/>
            </w:r>
            <w:r>
              <w:rPr>
                <w:rStyle w:val="35"/>
                <w:bdr w:val="none" w:color="auto" w:sz="0" w:space="0"/>
                <w:lang w:val="en-US" w:eastAsia="zh-CN" w:bidi="ar"/>
              </w:rPr>
              <w:t>产出质量</w:t>
            </w:r>
            <w:r>
              <w:rPr>
                <w:rStyle w:val="34"/>
                <w:bdr w:val="none" w:color="auto" w:sz="0" w:space="0"/>
                <w:lang w:val="en-US" w:eastAsia="zh-CN" w:bidi="ar"/>
              </w:rPr>
              <w:t>：部门2021年度完成的各项工作任务及重点项目的质量达标情况。</w:t>
            </w:r>
            <w:r>
              <w:rPr>
                <w:rStyle w:val="34"/>
                <w:bdr w:val="none" w:color="auto" w:sz="0" w:space="0"/>
                <w:lang w:val="en-US" w:eastAsia="zh-CN" w:bidi="ar"/>
              </w:rPr>
              <w:br w:type="textWrapping"/>
            </w:r>
            <w:r>
              <w:rPr>
                <w:rStyle w:val="35"/>
                <w:bdr w:val="none" w:color="auto" w:sz="0" w:space="0"/>
                <w:lang w:val="en-US" w:eastAsia="zh-CN" w:bidi="ar"/>
              </w:rPr>
              <w:t>产出进度</w:t>
            </w:r>
            <w:r>
              <w:rPr>
                <w:rStyle w:val="34"/>
                <w:bdr w:val="none" w:color="auto" w:sz="0" w:space="0"/>
                <w:lang w:val="en-US" w:eastAsia="zh-CN" w:bidi="ar"/>
              </w:rPr>
              <w:t>：部门2021年度的工作任务与重点项目的完成时效情况。</w:t>
            </w:r>
            <w:r>
              <w:rPr>
                <w:rStyle w:val="34"/>
                <w:bdr w:val="none" w:color="auto" w:sz="0" w:space="0"/>
                <w:lang w:val="en-US" w:eastAsia="zh-CN" w:bidi="ar"/>
              </w:rPr>
              <w:br w:type="textWrapping"/>
            </w:r>
            <w:r>
              <w:rPr>
                <w:rStyle w:val="35"/>
                <w:bdr w:val="none" w:color="auto" w:sz="0" w:space="0"/>
                <w:lang w:val="en-US" w:eastAsia="zh-CN" w:bidi="ar"/>
              </w:rPr>
              <w:t>产出成本</w:t>
            </w:r>
            <w:r>
              <w:rPr>
                <w:rStyle w:val="34"/>
                <w:bdr w:val="none" w:color="auto" w:sz="0" w:space="0"/>
                <w:lang w:val="en-US" w:eastAsia="zh-CN" w:bidi="ar"/>
              </w:rPr>
              <w:t>：①单位产出相对于上一年度的节约额；②部门公用经费的控制情况。</w:t>
            </w:r>
          </w:p>
        </w:tc>
        <w:tc>
          <w:tcPr>
            <w:tcW w:w="30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①定量指标按照比率*单项指标分值即为该指标得分。</w:t>
            </w:r>
            <w:r>
              <w:rPr>
                <w:rStyle w:val="34"/>
                <w:bdr w:val="none" w:color="auto" w:sz="0" w:space="0"/>
                <w:lang w:val="en-US" w:eastAsia="zh-CN" w:bidi="ar"/>
              </w:rPr>
              <w:br w:type="textWrapping"/>
            </w:r>
            <w:r>
              <w:rPr>
                <w:rStyle w:val="34"/>
                <w:bdr w:val="none" w:color="auto" w:sz="0" w:space="0"/>
                <w:lang w:val="en-US" w:eastAsia="zh-CN" w:bidi="ar"/>
              </w:rPr>
              <w:t>②定性指标按完成情况划分为基本达成、部分实现、实现程度较低三个档次，每档次分别对应分值区间100%-80%（含）、80%-60%（含）、60%-0%，根据指标实际完成情况在分值区间内合理确定得分。</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部门年度产出质量</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（10分）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部门年度产出进度</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（5分）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存在个别项目工作进展稍有滞后的情况，扣0.5分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9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部门年度产出成本</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（5分）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2021年度资金总体支出，较2020年度增长9.46%，成本控制措施有待加强，扣0.5分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效果</w:t>
            </w:r>
            <w:r>
              <w:rPr>
                <w:rStyle w:val="34"/>
                <w:bdr w:val="none" w:color="auto" w:sz="0" w:space="0"/>
                <w:lang w:val="en-US" w:eastAsia="zh-CN" w:bidi="ar"/>
              </w:rPr>
              <w:br w:type="textWrapping"/>
            </w:r>
            <w:r>
              <w:rPr>
                <w:rStyle w:val="34"/>
                <w:bdr w:val="none" w:color="auto" w:sz="0" w:space="0"/>
                <w:lang w:val="en-US" w:eastAsia="zh-CN" w:bidi="ar"/>
              </w:rPr>
              <w:t>（30分）</w:t>
            </w: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对企业创新经济建设方面的促进作用（5分）</w:t>
            </w:r>
          </w:p>
        </w:tc>
        <w:tc>
          <w:tcPr>
            <w:tcW w:w="472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35"/>
                <w:bdr w:val="none" w:color="auto" w:sz="0" w:space="0"/>
                <w:lang w:val="en-US" w:eastAsia="zh-CN" w:bidi="ar"/>
              </w:rPr>
              <w:t>社会效益</w:t>
            </w:r>
            <w:r>
              <w:rPr>
                <w:rStyle w:val="34"/>
                <w:bdr w:val="none" w:color="auto" w:sz="0" w:space="0"/>
                <w:lang w:val="en-US" w:eastAsia="zh-CN" w:bidi="ar"/>
              </w:rPr>
              <w:t>：部门（单位）履行职责对社会发展所带来的直接或间接影响。</w:t>
            </w:r>
            <w:r>
              <w:rPr>
                <w:rStyle w:val="34"/>
                <w:bdr w:val="none" w:color="auto" w:sz="0" w:space="0"/>
                <w:lang w:val="en-US" w:eastAsia="zh-CN" w:bidi="ar"/>
              </w:rPr>
              <w:br w:type="textWrapping"/>
            </w:r>
            <w:r>
              <w:rPr>
                <w:rStyle w:val="35"/>
                <w:bdr w:val="none" w:color="auto" w:sz="0" w:space="0"/>
                <w:lang w:val="en-US" w:eastAsia="zh-CN" w:bidi="ar"/>
              </w:rPr>
              <w:t>可持续性影响</w:t>
            </w:r>
            <w:r>
              <w:rPr>
                <w:rStyle w:val="34"/>
                <w:bdr w:val="none" w:color="auto" w:sz="0" w:space="0"/>
                <w:lang w:val="en-US" w:eastAsia="zh-CN" w:bidi="ar"/>
              </w:rPr>
              <w:t>：部门绩效目标实现的长效机制建设情况，部门工作效率提升措施的创新。</w:t>
            </w:r>
          </w:p>
        </w:tc>
        <w:tc>
          <w:tcPr>
            <w:tcW w:w="309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①定量指标按照比率*单项指标分值即为该指标得分。</w:t>
            </w:r>
            <w:r>
              <w:rPr>
                <w:rStyle w:val="34"/>
                <w:bdr w:val="none" w:color="auto" w:sz="0" w:space="0"/>
                <w:lang w:val="en-US" w:eastAsia="zh-CN" w:bidi="ar"/>
              </w:rPr>
              <w:br w:type="textWrapping"/>
            </w:r>
            <w:r>
              <w:rPr>
                <w:rStyle w:val="34"/>
                <w:bdr w:val="none" w:color="auto" w:sz="0" w:space="0"/>
                <w:lang w:val="en-US" w:eastAsia="zh-CN" w:bidi="ar"/>
              </w:rPr>
              <w:t>②定性指标按完成情况划分为基本达成、部分实现、实现程度较低三个档次，每档次分别对应分值区间100%-80%（含）、80%-60%（含）、60%-0%，根据指标实际完成情况在分值区间内合理确定得分。</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对企业一线科技工作者创新能力提升的促进作用（5分）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对科普资源共享效果加强方面的促进作用（5分）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对提高公民科学素养提升的影响（5分）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16"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对培养优秀科技人才，赋能优秀科技工作者成长成才的影响（5分）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对加强企业自身建设，提升科协组织影响力的影响（5分）</w:t>
            </w:r>
          </w:p>
        </w:tc>
        <w:tc>
          <w:tcPr>
            <w:tcW w:w="472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b/>
                <w:bCs/>
                <w:i w:val="0"/>
                <w:iCs w:val="0"/>
                <w:color w:val="000000"/>
                <w:sz w:val="20"/>
                <w:szCs w:val="20"/>
                <w:u w:val="none"/>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70" w:hRule="atLeast"/>
        </w:trPr>
        <w:tc>
          <w:tcPr>
            <w:tcW w:w="88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预算管理情况</w:t>
            </w:r>
            <w:r>
              <w:rPr>
                <w:rStyle w:val="34"/>
                <w:bdr w:val="none" w:color="auto" w:sz="0" w:space="0"/>
                <w:lang w:val="en-US" w:eastAsia="zh-CN" w:bidi="ar"/>
              </w:rPr>
              <w:br w:type="textWrapping"/>
            </w:r>
            <w:r>
              <w:rPr>
                <w:rStyle w:val="34"/>
                <w:bdr w:val="none" w:color="auto" w:sz="0" w:space="0"/>
                <w:lang w:val="en-US" w:eastAsia="zh-CN" w:bidi="ar"/>
              </w:rPr>
              <w:t>（20分）</w:t>
            </w:r>
          </w:p>
        </w:tc>
        <w:tc>
          <w:tcPr>
            <w:tcW w:w="87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财务管理（4分）</w:t>
            </w: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财务管理制度健全性（1分）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考核部门（单位）财务管理制度制定情况。</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①预算资金管理办法、绩效跟踪管理办法、资产管理办法等各项制度是否健全；②部门内部财务管理制度是否完整、合规；③会计核算制度是否完整、合规。每有一项不合格扣0.5分，扣完为止。</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0.50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个别制度时效性不足，扣0.5分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5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资金使用合规性和安全性（2分）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考核部门（单位）预算资金的规范运行和安全运行情况。</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9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会计基础信息完善性（1分）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考核部门（单位）会计基础信息完善情况。</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①基础数据信息和会计信息资料是否真实；②基础数据信息和会计信息资料是否完整；③基础数据信息和会计信息资料是否准确。每有一项不合格扣0.5分，扣完为止。</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5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资产管理</w:t>
            </w:r>
            <w:r>
              <w:rPr>
                <w:rStyle w:val="34"/>
                <w:bdr w:val="none" w:color="auto" w:sz="0" w:space="0"/>
                <w:lang w:val="en-US" w:eastAsia="zh-CN" w:bidi="ar"/>
              </w:rPr>
              <w:br w:type="textWrapping"/>
            </w:r>
            <w:r>
              <w:rPr>
                <w:rStyle w:val="34"/>
                <w:bdr w:val="none" w:color="auto" w:sz="0" w:space="0"/>
                <w:lang w:val="en-US" w:eastAsia="zh-CN" w:bidi="ar"/>
              </w:rPr>
              <w:t>（4分）</w:t>
            </w: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资产管理规范性（4分）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考核部门（单位）资产管理情况。</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16" w:hRule="atLeast"/>
        </w:trPr>
        <w:tc>
          <w:tcPr>
            <w:tcW w:w="88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续上页</w:t>
            </w:r>
          </w:p>
        </w:tc>
        <w:tc>
          <w:tcPr>
            <w:tcW w:w="8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绩效管理</w:t>
            </w:r>
            <w:r>
              <w:rPr>
                <w:rStyle w:val="34"/>
                <w:bdr w:val="none" w:color="auto" w:sz="0" w:space="0"/>
                <w:lang w:val="en-US" w:eastAsia="zh-CN" w:bidi="ar"/>
              </w:rPr>
              <w:br w:type="textWrapping"/>
            </w:r>
            <w:r>
              <w:rPr>
                <w:rStyle w:val="34"/>
                <w:bdr w:val="none" w:color="auto" w:sz="0" w:space="0"/>
                <w:lang w:val="en-US" w:eastAsia="zh-CN" w:bidi="ar"/>
              </w:rPr>
              <w:t>（4分）</w:t>
            </w:r>
          </w:p>
        </w:tc>
        <w:tc>
          <w:tcPr>
            <w:tcW w:w="181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绩效管理情况</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（4分）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考核部门（单位）绩效管理信息的汇总和应用情况。</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①部门（单位）是否及时对绩效信息进行汇总分析整理；②部门（单位）是否对绩效目标偏离情况及时进行矫正。每有一项不合格扣2分。</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2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68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结转结余率（4分）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结转结余率=结转结余总额/支出预算数×100%。</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结转结余总额：部门（单位）本年度的结转资金与结余资金之和。</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部门结转结余率低于上年的不扣分；高于上年结余率的，每高出1个百分点扣0.4分，扣完为止。（说明：预算调整和结转结余指标，如非预算部门主观因素导致扣分的，在评分结果征求意见环节，经与相关部门预算主管处室共同研究，可作为例外情况酌情考虑。）</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2.86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2021年结转结余率为11.43%，高于上年结转结余率（2020年度结转结余率为8.59%）2.84个百点，扣1.14分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5"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2688"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部门预决算差异率（4分）</w:t>
            </w:r>
          </w:p>
        </w:tc>
        <w:tc>
          <w:tcPr>
            <w:tcW w:w="47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通过年度部门决算与年初部门预算对比，对部门的年度支出情况进行考核，衡量部门预算的约束力。</w:t>
            </w:r>
          </w:p>
        </w:tc>
        <w:tc>
          <w:tcPr>
            <w:tcW w:w="3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4"/>
                <w:bdr w:val="none" w:color="auto" w:sz="0" w:space="0"/>
                <w:lang w:val="en-US" w:eastAsia="zh-CN" w:bidi="ar"/>
              </w:rPr>
              <w:t>部门预决算差异率高于市级平均差异率（28.3%）的，每高出10%（含），扣0.4分，扣完为止。</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部门年初预算数为预决算差异率为6.81%，不扣分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1392"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合计</w:t>
            </w:r>
          </w:p>
        </w:tc>
        <w:tc>
          <w:tcPr>
            <w:tcW w:w="71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 xml:space="preserve">94.99 </w:t>
            </w:r>
          </w:p>
        </w:tc>
        <w:tc>
          <w:tcPr>
            <w:tcW w:w="20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w:t>
            </w:r>
          </w:p>
        </w:tc>
      </w:tr>
    </w:tbl>
    <w:p>
      <w:pPr>
        <w:pStyle w:val="2"/>
        <w:rPr>
          <w:rFonts w:hint="eastAsia" w:ascii="仿宋_GB2312" w:hAnsi="仿宋_GB2312" w:eastAsia="仿宋_GB2312" w:cs="仿宋_GB2312"/>
          <w:sz w:val="32"/>
          <w:szCs w:val="32"/>
        </w:rPr>
      </w:pPr>
    </w:p>
    <w:sectPr>
      <w:pgSz w:w="16838" w:h="11906" w:orient="landscape"/>
      <w:pgMar w:top="1701" w:right="1418" w:bottom="1701" w:left="1418" w:header="851" w:footer="113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CESI仿宋-GB2312">
    <w:altName w:val="微软雅黑"/>
    <w:panose1 w:val="00000000000000000000"/>
    <w:charset w:val="86"/>
    <w:family w:val="auto"/>
    <w:pitch w:val="default"/>
    <w:sig w:usb0="00000000" w:usb1="00000000" w:usb2="00000010"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4003755"/>
    </w:sdtPr>
    <w:sdtEndPr>
      <w:rPr>
        <w:rFonts w:ascii="宋体" w:hAnsi="宋体"/>
        <w:sz w:val="28"/>
        <w:szCs w:val="28"/>
      </w:rPr>
    </w:sdtEndPr>
    <w:sdtContent>
      <w:p>
        <w:pPr>
          <w:pStyle w:val="8"/>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32685"/>
      <w:docPartObj>
        <w:docPartGallery w:val="autotext"/>
      </w:docPartObj>
    </w:sdtPr>
    <w:sdtEndPr>
      <w:rPr>
        <w:rFonts w:ascii="宋体" w:hAnsi="宋体"/>
        <w:sz w:val="28"/>
        <w:szCs w:val="32"/>
      </w:rPr>
    </w:sdtEndPr>
    <w:sdtContent>
      <w:p>
        <w:pPr>
          <w:pStyle w:val="8"/>
          <w:jc w:val="center"/>
          <w:rPr>
            <w:rFonts w:ascii="宋体" w:hAnsi="宋体"/>
            <w:sz w:val="28"/>
            <w:szCs w:val="32"/>
          </w:rPr>
        </w:pPr>
        <w:r>
          <w:rPr>
            <w:rFonts w:ascii="宋体" w:hAnsi="宋体"/>
            <w:sz w:val="28"/>
            <w:szCs w:val="32"/>
          </w:rPr>
          <w:fldChar w:fldCharType="begin"/>
        </w:r>
        <w:r>
          <w:rPr>
            <w:rFonts w:ascii="宋体" w:hAnsi="宋体"/>
            <w:sz w:val="28"/>
            <w:szCs w:val="32"/>
          </w:rPr>
          <w:instrText xml:space="preserve">PAGE   \* MERGEFORMAT</w:instrText>
        </w:r>
        <w:r>
          <w:rPr>
            <w:rFonts w:ascii="宋体" w:hAnsi="宋体"/>
            <w:sz w:val="28"/>
            <w:szCs w:val="32"/>
          </w:rPr>
          <w:fldChar w:fldCharType="separate"/>
        </w:r>
        <w:r>
          <w:rPr>
            <w:rFonts w:ascii="宋体" w:hAnsi="宋体"/>
            <w:sz w:val="28"/>
            <w:szCs w:val="32"/>
            <w:lang w:val="zh-CN"/>
          </w:rPr>
          <w:t>2</w:t>
        </w:r>
        <w:r>
          <w:rPr>
            <w:rFonts w:ascii="宋体" w:hAnsi="宋体"/>
            <w:sz w:val="28"/>
            <w:szCs w:val="32"/>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1NTNiMjU0OWM4Y2M0MDI5ZGU3ZTA2NjRmMDFjY2UifQ=="/>
  </w:docVars>
  <w:rsids>
    <w:rsidRoot w:val="005E4E7A"/>
    <w:rsid w:val="00000938"/>
    <w:rsid w:val="0001034E"/>
    <w:rsid w:val="0001705C"/>
    <w:rsid w:val="0002016F"/>
    <w:rsid w:val="00020EFA"/>
    <w:rsid w:val="00023684"/>
    <w:rsid w:val="000241C1"/>
    <w:rsid w:val="000259BC"/>
    <w:rsid w:val="00027220"/>
    <w:rsid w:val="00027416"/>
    <w:rsid w:val="00034924"/>
    <w:rsid w:val="00055ECF"/>
    <w:rsid w:val="000562C9"/>
    <w:rsid w:val="00061971"/>
    <w:rsid w:val="000636B6"/>
    <w:rsid w:val="000638C1"/>
    <w:rsid w:val="0007423E"/>
    <w:rsid w:val="000750CE"/>
    <w:rsid w:val="000778B0"/>
    <w:rsid w:val="00080D2B"/>
    <w:rsid w:val="000824F0"/>
    <w:rsid w:val="00084D71"/>
    <w:rsid w:val="00087D41"/>
    <w:rsid w:val="000A4C45"/>
    <w:rsid w:val="000A57B0"/>
    <w:rsid w:val="000A5D66"/>
    <w:rsid w:val="000A5E49"/>
    <w:rsid w:val="000B0186"/>
    <w:rsid w:val="000B7FB3"/>
    <w:rsid w:val="000C6F44"/>
    <w:rsid w:val="000C78CC"/>
    <w:rsid w:val="000D0FB4"/>
    <w:rsid w:val="000D26E8"/>
    <w:rsid w:val="000D3B1A"/>
    <w:rsid w:val="000D4235"/>
    <w:rsid w:val="000D4BE1"/>
    <w:rsid w:val="000D5C67"/>
    <w:rsid w:val="000E7E51"/>
    <w:rsid w:val="000F4756"/>
    <w:rsid w:val="00106C0F"/>
    <w:rsid w:val="00106C57"/>
    <w:rsid w:val="001070C6"/>
    <w:rsid w:val="00113875"/>
    <w:rsid w:val="00120069"/>
    <w:rsid w:val="00120806"/>
    <w:rsid w:val="0013627F"/>
    <w:rsid w:val="00136E04"/>
    <w:rsid w:val="001416E9"/>
    <w:rsid w:val="00142694"/>
    <w:rsid w:val="001456CC"/>
    <w:rsid w:val="00146F00"/>
    <w:rsid w:val="001474E5"/>
    <w:rsid w:val="0015150C"/>
    <w:rsid w:val="00162B6A"/>
    <w:rsid w:val="00163109"/>
    <w:rsid w:val="00166625"/>
    <w:rsid w:val="0017060C"/>
    <w:rsid w:val="00172F9F"/>
    <w:rsid w:val="001743CF"/>
    <w:rsid w:val="00174AE2"/>
    <w:rsid w:val="00180A9B"/>
    <w:rsid w:val="00182D05"/>
    <w:rsid w:val="00182E03"/>
    <w:rsid w:val="001850B3"/>
    <w:rsid w:val="00185D61"/>
    <w:rsid w:val="00191D55"/>
    <w:rsid w:val="001922C7"/>
    <w:rsid w:val="001972AD"/>
    <w:rsid w:val="00197EBC"/>
    <w:rsid w:val="001A23A9"/>
    <w:rsid w:val="001A267A"/>
    <w:rsid w:val="001A4B5B"/>
    <w:rsid w:val="001B16FE"/>
    <w:rsid w:val="001B22B3"/>
    <w:rsid w:val="001B7EA2"/>
    <w:rsid w:val="001C4833"/>
    <w:rsid w:val="001C5A29"/>
    <w:rsid w:val="001D0FF6"/>
    <w:rsid w:val="001D1C48"/>
    <w:rsid w:val="001D2611"/>
    <w:rsid w:val="001D5E7E"/>
    <w:rsid w:val="001E373A"/>
    <w:rsid w:val="001E5DD7"/>
    <w:rsid w:val="001F4928"/>
    <w:rsid w:val="001F4C20"/>
    <w:rsid w:val="00201272"/>
    <w:rsid w:val="00202CCF"/>
    <w:rsid w:val="002068D2"/>
    <w:rsid w:val="00216CB0"/>
    <w:rsid w:val="00217C86"/>
    <w:rsid w:val="0022011A"/>
    <w:rsid w:val="00222167"/>
    <w:rsid w:val="0023175D"/>
    <w:rsid w:val="00231F23"/>
    <w:rsid w:val="00235DDF"/>
    <w:rsid w:val="00246BAB"/>
    <w:rsid w:val="00251D32"/>
    <w:rsid w:val="0026061E"/>
    <w:rsid w:val="002616A7"/>
    <w:rsid w:val="0026679F"/>
    <w:rsid w:val="00270DCB"/>
    <w:rsid w:val="00270E0B"/>
    <w:rsid w:val="00273017"/>
    <w:rsid w:val="00274E84"/>
    <w:rsid w:val="00275D26"/>
    <w:rsid w:val="00277732"/>
    <w:rsid w:val="00277A76"/>
    <w:rsid w:val="00281574"/>
    <w:rsid w:val="00282E0A"/>
    <w:rsid w:val="002839B4"/>
    <w:rsid w:val="00296AC2"/>
    <w:rsid w:val="002A24B8"/>
    <w:rsid w:val="002A4342"/>
    <w:rsid w:val="002A5A9C"/>
    <w:rsid w:val="002B0F4D"/>
    <w:rsid w:val="002B43AC"/>
    <w:rsid w:val="002B4800"/>
    <w:rsid w:val="002B4A67"/>
    <w:rsid w:val="002B5880"/>
    <w:rsid w:val="002B5965"/>
    <w:rsid w:val="002C4547"/>
    <w:rsid w:val="002C4A83"/>
    <w:rsid w:val="002C66B8"/>
    <w:rsid w:val="002C7BDA"/>
    <w:rsid w:val="002E5B17"/>
    <w:rsid w:val="002E72EE"/>
    <w:rsid w:val="002F45AD"/>
    <w:rsid w:val="00302550"/>
    <w:rsid w:val="003030C1"/>
    <w:rsid w:val="00303962"/>
    <w:rsid w:val="003068C9"/>
    <w:rsid w:val="00307C65"/>
    <w:rsid w:val="00312D47"/>
    <w:rsid w:val="003138E3"/>
    <w:rsid w:val="00314512"/>
    <w:rsid w:val="00320DF3"/>
    <w:rsid w:val="0032275C"/>
    <w:rsid w:val="00332F46"/>
    <w:rsid w:val="00341A1A"/>
    <w:rsid w:val="00346D29"/>
    <w:rsid w:val="0035152B"/>
    <w:rsid w:val="00356A1D"/>
    <w:rsid w:val="00360B37"/>
    <w:rsid w:val="0036543A"/>
    <w:rsid w:val="003670A1"/>
    <w:rsid w:val="00370F3E"/>
    <w:rsid w:val="00373F6E"/>
    <w:rsid w:val="00374FCA"/>
    <w:rsid w:val="00376CD3"/>
    <w:rsid w:val="00380E0E"/>
    <w:rsid w:val="003814F5"/>
    <w:rsid w:val="00386E35"/>
    <w:rsid w:val="00393B0C"/>
    <w:rsid w:val="003951B7"/>
    <w:rsid w:val="003974B0"/>
    <w:rsid w:val="00397C0B"/>
    <w:rsid w:val="003A0E2A"/>
    <w:rsid w:val="003A649A"/>
    <w:rsid w:val="003A707A"/>
    <w:rsid w:val="003B108D"/>
    <w:rsid w:val="003B6526"/>
    <w:rsid w:val="003C02CD"/>
    <w:rsid w:val="003C26F4"/>
    <w:rsid w:val="003C352A"/>
    <w:rsid w:val="003C4D3F"/>
    <w:rsid w:val="003C5D4D"/>
    <w:rsid w:val="003C5D8E"/>
    <w:rsid w:val="003D15CB"/>
    <w:rsid w:val="003D5A4E"/>
    <w:rsid w:val="003D6B90"/>
    <w:rsid w:val="003E11FD"/>
    <w:rsid w:val="003F21FB"/>
    <w:rsid w:val="003F5D38"/>
    <w:rsid w:val="003F768D"/>
    <w:rsid w:val="00401F86"/>
    <w:rsid w:val="004140C4"/>
    <w:rsid w:val="004226B8"/>
    <w:rsid w:val="00427CDB"/>
    <w:rsid w:val="00430202"/>
    <w:rsid w:val="00431902"/>
    <w:rsid w:val="00433F17"/>
    <w:rsid w:val="00436C98"/>
    <w:rsid w:val="0044229C"/>
    <w:rsid w:val="004422F8"/>
    <w:rsid w:val="00450E3A"/>
    <w:rsid w:val="00452958"/>
    <w:rsid w:val="004571B8"/>
    <w:rsid w:val="00461311"/>
    <w:rsid w:val="0046460D"/>
    <w:rsid w:val="00477DA5"/>
    <w:rsid w:val="00480F1A"/>
    <w:rsid w:val="00481CB8"/>
    <w:rsid w:val="0048394C"/>
    <w:rsid w:val="00485BBD"/>
    <w:rsid w:val="00490502"/>
    <w:rsid w:val="00492308"/>
    <w:rsid w:val="0049304D"/>
    <w:rsid w:val="00495C32"/>
    <w:rsid w:val="00495F01"/>
    <w:rsid w:val="004A17EB"/>
    <w:rsid w:val="004A3B27"/>
    <w:rsid w:val="004A4A19"/>
    <w:rsid w:val="004B0C4F"/>
    <w:rsid w:val="004B4B2A"/>
    <w:rsid w:val="004C3FCF"/>
    <w:rsid w:val="004C4C17"/>
    <w:rsid w:val="004D0A0B"/>
    <w:rsid w:val="004D15BD"/>
    <w:rsid w:val="004D2269"/>
    <w:rsid w:val="004D49A0"/>
    <w:rsid w:val="004D7696"/>
    <w:rsid w:val="004E28FC"/>
    <w:rsid w:val="004E410D"/>
    <w:rsid w:val="004E5A8D"/>
    <w:rsid w:val="004F6414"/>
    <w:rsid w:val="00501AFC"/>
    <w:rsid w:val="00512FFA"/>
    <w:rsid w:val="0051624A"/>
    <w:rsid w:val="005200EA"/>
    <w:rsid w:val="00524CEA"/>
    <w:rsid w:val="005276D9"/>
    <w:rsid w:val="00530A6F"/>
    <w:rsid w:val="00533CFA"/>
    <w:rsid w:val="00541B7C"/>
    <w:rsid w:val="005471A6"/>
    <w:rsid w:val="00551302"/>
    <w:rsid w:val="0055432B"/>
    <w:rsid w:val="005549D6"/>
    <w:rsid w:val="00554A13"/>
    <w:rsid w:val="0055722F"/>
    <w:rsid w:val="0056779B"/>
    <w:rsid w:val="00574C7E"/>
    <w:rsid w:val="005806F6"/>
    <w:rsid w:val="00580C5C"/>
    <w:rsid w:val="00590AAB"/>
    <w:rsid w:val="00590B98"/>
    <w:rsid w:val="00594FD0"/>
    <w:rsid w:val="00595601"/>
    <w:rsid w:val="005962F3"/>
    <w:rsid w:val="005A2A0C"/>
    <w:rsid w:val="005A4BA8"/>
    <w:rsid w:val="005B6552"/>
    <w:rsid w:val="005B7B88"/>
    <w:rsid w:val="005C30E7"/>
    <w:rsid w:val="005C42A1"/>
    <w:rsid w:val="005D4DC3"/>
    <w:rsid w:val="005D77D0"/>
    <w:rsid w:val="005E0C39"/>
    <w:rsid w:val="005E2903"/>
    <w:rsid w:val="005E4E7A"/>
    <w:rsid w:val="005F1233"/>
    <w:rsid w:val="005F5D96"/>
    <w:rsid w:val="00601D77"/>
    <w:rsid w:val="00603008"/>
    <w:rsid w:val="00603176"/>
    <w:rsid w:val="006059B1"/>
    <w:rsid w:val="00605F7C"/>
    <w:rsid w:val="0060608D"/>
    <w:rsid w:val="00606392"/>
    <w:rsid w:val="00611BEF"/>
    <w:rsid w:val="00612FB3"/>
    <w:rsid w:val="00617AE3"/>
    <w:rsid w:val="00626781"/>
    <w:rsid w:val="006315F5"/>
    <w:rsid w:val="006316BC"/>
    <w:rsid w:val="006351D7"/>
    <w:rsid w:val="00636EEB"/>
    <w:rsid w:val="00640FE3"/>
    <w:rsid w:val="00641985"/>
    <w:rsid w:val="00644B3A"/>
    <w:rsid w:val="0065248B"/>
    <w:rsid w:val="00653533"/>
    <w:rsid w:val="0065614F"/>
    <w:rsid w:val="006571EA"/>
    <w:rsid w:val="00657A29"/>
    <w:rsid w:val="00661759"/>
    <w:rsid w:val="0066417F"/>
    <w:rsid w:val="006664F8"/>
    <w:rsid w:val="006735C9"/>
    <w:rsid w:val="00673812"/>
    <w:rsid w:val="006751F9"/>
    <w:rsid w:val="0067606D"/>
    <w:rsid w:val="00697DDA"/>
    <w:rsid w:val="006A1489"/>
    <w:rsid w:val="006A2D88"/>
    <w:rsid w:val="006A2DE8"/>
    <w:rsid w:val="006A6D6F"/>
    <w:rsid w:val="006B0547"/>
    <w:rsid w:val="006B41AD"/>
    <w:rsid w:val="006B5350"/>
    <w:rsid w:val="006B5B40"/>
    <w:rsid w:val="006C11B6"/>
    <w:rsid w:val="006C1C44"/>
    <w:rsid w:val="006C388E"/>
    <w:rsid w:val="006D0CB2"/>
    <w:rsid w:val="006D57D0"/>
    <w:rsid w:val="006D5E72"/>
    <w:rsid w:val="006D70B8"/>
    <w:rsid w:val="006D7E1D"/>
    <w:rsid w:val="006F3F32"/>
    <w:rsid w:val="006F5F8F"/>
    <w:rsid w:val="007008BD"/>
    <w:rsid w:val="00702A6F"/>
    <w:rsid w:val="007059CA"/>
    <w:rsid w:val="0071161F"/>
    <w:rsid w:val="00711A01"/>
    <w:rsid w:val="00712588"/>
    <w:rsid w:val="00717AE9"/>
    <w:rsid w:val="00727180"/>
    <w:rsid w:val="0073170B"/>
    <w:rsid w:val="00732982"/>
    <w:rsid w:val="007335BF"/>
    <w:rsid w:val="00737642"/>
    <w:rsid w:val="00754848"/>
    <w:rsid w:val="00754D63"/>
    <w:rsid w:val="007553A4"/>
    <w:rsid w:val="00756222"/>
    <w:rsid w:val="007603D5"/>
    <w:rsid w:val="0076050D"/>
    <w:rsid w:val="0076406A"/>
    <w:rsid w:val="00764C25"/>
    <w:rsid w:val="00767965"/>
    <w:rsid w:val="007749FC"/>
    <w:rsid w:val="00775F9D"/>
    <w:rsid w:val="00776C86"/>
    <w:rsid w:val="00777564"/>
    <w:rsid w:val="00785403"/>
    <w:rsid w:val="00786FAF"/>
    <w:rsid w:val="00787DDA"/>
    <w:rsid w:val="00790DFE"/>
    <w:rsid w:val="007921DC"/>
    <w:rsid w:val="00795CA9"/>
    <w:rsid w:val="007A1089"/>
    <w:rsid w:val="007A5839"/>
    <w:rsid w:val="007A66BA"/>
    <w:rsid w:val="007A75B6"/>
    <w:rsid w:val="007A77A5"/>
    <w:rsid w:val="007B4C0D"/>
    <w:rsid w:val="007B5209"/>
    <w:rsid w:val="007B5BC1"/>
    <w:rsid w:val="007C21E7"/>
    <w:rsid w:val="007C3902"/>
    <w:rsid w:val="007C44E4"/>
    <w:rsid w:val="007C4FCF"/>
    <w:rsid w:val="007C5323"/>
    <w:rsid w:val="007C586E"/>
    <w:rsid w:val="007D2FF8"/>
    <w:rsid w:val="007D3C0A"/>
    <w:rsid w:val="007E3784"/>
    <w:rsid w:val="007E4C82"/>
    <w:rsid w:val="007E55ED"/>
    <w:rsid w:val="007E57FD"/>
    <w:rsid w:val="007F0590"/>
    <w:rsid w:val="007F32A0"/>
    <w:rsid w:val="00802B94"/>
    <w:rsid w:val="00805285"/>
    <w:rsid w:val="008056DE"/>
    <w:rsid w:val="00806105"/>
    <w:rsid w:val="0081454E"/>
    <w:rsid w:val="00814D71"/>
    <w:rsid w:val="00817CD8"/>
    <w:rsid w:val="00823508"/>
    <w:rsid w:val="008246C1"/>
    <w:rsid w:val="00827CEF"/>
    <w:rsid w:val="00831CCE"/>
    <w:rsid w:val="0083251D"/>
    <w:rsid w:val="00837EF9"/>
    <w:rsid w:val="00841151"/>
    <w:rsid w:val="00842174"/>
    <w:rsid w:val="008436CF"/>
    <w:rsid w:val="00845FAE"/>
    <w:rsid w:val="0085684A"/>
    <w:rsid w:val="00871DEB"/>
    <w:rsid w:val="00877419"/>
    <w:rsid w:val="00877EAB"/>
    <w:rsid w:val="00884AF5"/>
    <w:rsid w:val="0088548D"/>
    <w:rsid w:val="008865C9"/>
    <w:rsid w:val="00886DD6"/>
    <w:rsid w:val="00890C3B"/>
    <w:rsid w:val="00891D33"/>
    <w:rsid w:val="008926B4"/>
    <w:rsid w:val="0089297F"/>
    <w:rsid w:val="00896C0C"/>
    <w:rsid w:val="008A1A4C"/>
    <w:rsid w:val="008A6ABA"/>
    <w:rsid w:val="008A760A"/>
    <w:rsid w:val="008B3A57"/>
    <w:rsid w:val="008B7970"/>
    <w:rsid w:val="008C1169"/>
    <w:rsid w:val="008C174F"/>
    <w:rsid w:val="008C6F95"/>
    <w:rsid w:val="008D14A8"/>
    <w:rsid w:val="008E28A1"/>
    <w:rsid w:val="008E47E8"/>
    <w:rsid w:val="008E4C8C"/>
    <w:rsid w:val="008F2ABF"/>
    <w:rsid w:val="009006D4"/>
    <w:rsid w:val="00907A5A"/>
    <w:rsid w:val="00914963"/>
    <w:rsid w:val="009150EF"/>
    <w:rsid w:val="00920FFE"/>
    <w:rsid w:val="0093255F"/>
    <w:rsid w:val="00941188"/>
    <w:rsid w:val="0094278B"/>
    <w:rsid w:val="00943BB0"/>
    <w:rsid w:val="00943F17"/>
    <w:rsid w:val="00950298"/>
    <w:rsid w:val="00952593"/>
    <w:rsid w:val="00965D74"/>
    <w:rsid w:val="0096643B"/>
    <w:rsid w:val="009670EE"/>
    <w:rsid w:val="00970672"/>
    <w:rsid w:val="00971378"/>
    <w:rsid w:val="00973FCC"/>
    <w:rsid w:val="00974E46"/>
    <w:rsid w:val="0097516F"/>
    <w:rsid w:val="00990AF0"/>
    <w:rsid w:val="009A1DA5"/>
    <w:rsid w:val="009A4BA4"/>
    <w:rsid w:val="009A77A3"/>
    <w:rsid w:val="009B29C3"/>
    <w:rsid w:val="009B6D96"/>
    <w:rsid w:val="009B7EBB"/>
    <w:rsid w:val="009C2219"/>
    <w:rsid w:val="009C3BB5"/>
    <w:rsid w:val="009C4FD9"/>
    <w:rsid w:val="009C6083"/>
    <w:rsid w:val="009D218F"/>
    <w:rsid w:val="009E0D10"/>
    <w:rsid w:val="009E576C"/>
    <w:rsid w:val="009F1E27"/>
    <w:rsid w:val="009F4EDC"/>
    <w:rsid w:val="009F5616"/>
    <w:rsid w:val="00A113DB"/>
    <w:rsid w:val="00A11A8E"/>
    <w:rsid w:val="00A12EF9"/>
    <w:rsid w:val="00A173F1"/>
    <w:rsid w:val="00A20006"/>
    <w:rsid w:val="00A2003D"/>
    <w:rsid w:val="00A26400"/>
    <w:rsid w:val="00A36E82"/>
    <w:rsid w:val="00A41659"/>
    <w:rsid w:val="00A50443"/>
    <w:rsid w:val="00A5046B"/>
    <w:rsid w:val="00A518E8"/>
    <w:rsid w:val="00A51E06"/>
    <w:rsid w:val="00A55EB2"/>
    <w:rsid w:val="00A5618A"/>
    <w:rsid w:val="00A5650E"/>
    <w:rsid w:val="00A636EE"/>
    <w:rsid w:val="00A64555"/>
    <w:rsid w:val="00A7208A"/>
    <w:rsid w:val="00A81DCC"/>
    <w:rsid w:val="00A84789"/>
    <w:rsid w:val="00A850BB"/>
    <w:rsid w:val="00A852A3"/>
    <w:rsid w:val="00A853CD"/>
    <w:rsid w:val="00A91366"/>
    <w:rsid w:val="00AA0ED4"/>
    <w:rsid w:val="00AA16F8"/>
    <w:rsid w:val="00AA7181"/>
    <w:rsid w:val="00AB4F6A"/>
    <w:rsid w:val="00AB50D1"/>
    <w:rsid w:val="00AB6ACD"/>
    <w:rsid w:val="00AC2D6B"/>
    <w:rsid w:val="00AC6A48"/>
    <w:rsid w:val="00AC7267"/>
    <w:rsid w:val="00AD3639"/>
    <w:rsid w:val="00AD3A90"/>
    <w:rsid w:val="00AF0EEB"/>
    <w:rsid w:val="00AF3BD2"/>
    <w:rsid w:val="00AF3E97"/>
    <w:rsid w:val="00AF5626"/>
    <w:rsid w:val="00B100F3"/>
    <w:rsid w:val="00B14938"/>
    <w:rsid w:val="00B203FF"/>
    <w:rsid w:val="00B20A37"/>
    <w:rsid w:val="00B2549B"/>
    <w:rsid w:val="00B25C72"/>
    <w:rsid w:val="00B30086"/>
    <w:rsid w:val="00B33F7C"/>
    <w:rsid w:val="00B341E1"/>
    <w:rsid w:val="00B34519"/>
    <w:rsid w:val="00B34828"/>
    <w:rsid w:val="00B369F2"/>
    <w:rsid w:val="00B415CC"/>
    <w:rsid w:val="00B42393"/>
    <w:rsid w:val="00B44AC8"/>
    <w:rsid w:val="00B51F06"/>
    <w:rsid w:val="00B542CC"/>
    <w:rsid w:val="00B65668"/>
    <w:rsid w:val="00B84FA1"/>
    <w:rsid w:val="00B8640F"/>
    <w:rsid w:val="00B93E7E"/>
    <w:rsid w:val="00B9579A"/>
    <w:rsid w:val="00B968F5"/>
    <w:rsid w:val="00BA29EB"/>
    <w:rsid w:val="00BA2BFE"/>
    <w:rsid w:val="00BB36FD"/>
    <w:rsid w:val="00BB4D35"/>
    <w:rsid w:val="00BB4F29"/>
    <w:rsid w:val="00BB65F0"/>
    <w:rsid w:val="00BB7EA3"/>
    <w:rsid w:val="00BC1A94"/>
    <w:rsid w:val="00BC20C2"/>
    <w:rsid w:val="00BD1DEA"/>
    <w:rsid w:val="00BD35A7"/>
    <w:rsid w:val="00BD40E6"/>
    <w:rsid w:val="00BD4AB8"/>
    <w:rsid w:val="00BD63C5"/>
    <w:rsid w:val="00BE05F5"/>
    <w:rsid w:val="00BE0944"/>
    <w:rsid w:val="00BE5B20"/>
    <w:rsid w:val="00BF7479"/>
    <w:rsid w:val="00C065B6"/>
    <w:rsid w:val="00C1096B"/>
    <w:rsid w:val="00C12124"/>
    <w:rsid w:val="00C13A05"/>
    <w:rsid w:val="00C15661"/>
    <w:rsid w:val="00C17061"/>
    <w:rsid w:val="00C1735C"/>
    <w:rsid w:val="00C223DE"/>
    <w:rsid w:val="00C22BA5"/>
    <w:rsid w:val="00C24519"/>
    <w:rsid w:val="00C27219"/>
    <w:rsid w:val="00C27A4F"/>
    <w:rsid w:val="00C27F5B"/>
    <w:rsid w:val="00C31CC6"/>
    <w:rsid w:val="00C34491"/>
    <w:rsid w:val="00C344C1"/>
    <w:rsid w:val="00C3689D"/>
    <w:rsid w:val="00C37BA8"/>
    <w:rsid w:val="00C40C8E"/>
    <w:rsid w:val="00C436A8"/>
    <w:rsid w:val="00C46A74"/>
    <w:rsid w:val="00C545E6"/>
    <w:rsid w:val="00C54A8C"/>
    <w:rsid w:val="00C55454"/>
    <w:rsid w:val="00C55C3B"/>
    <w:rsid w:val="00C629C4"/>
    <w:rsid w:val="00C715AC"/>
    <w:rsid w:val="00C73D29"/>
    <w:rsid w:val="00C8096C"/>
    <w:rsid w:val="00C80A0C"/>
    <w:rsid w:val="00C95B2F"/>
    <w:rsid w:val="00C97329"/>
    <w:rsid w:val="00CA0D41"/>
    <w:rsid w:val="00CA39A3"/>
    <w:rsid w:val="00CA4F67"/>
    <w:rsid w:val="00CA5D34"/>
    <w:rsid w:val="00CA6985"/>
    <w:rsid w:val="00CA6E03"/>
    <w:rsid w:val="00CB2B7C"/>
    <w:rsid w:val="00CB2F19"/>
    <w:rsid w:val="00CB5273"/>
    <w:rsid w:val="00CC7801"/>
    <w:rsid w:val="00CC7D19"/>
    <w:rsid w:val="00CD4C70"/>
    <w:rsid w:val="00CD4DE2"/>
    <w:rsid w:val="00CD66E6"/>
    <w:rsid w:val="00CE030A"/>
    <w:rsid w:val="00CE14A6"/>
    <w:rsid w:val="00CE3CBE"/>
    <w:rsid w:val="00CE50DD"/>
    <w:rsid w:val="00CE6CEB"/>
    <w:rsid w:val="00CF16CC"/>
    <w:rsid w:val="00CF22D3"/>
    <w:rsid w:val="00D0435C"/>
    <w:rsid w:val="00D04F34"/>
    <w:rsid w:val="00D05664"/>
    <w:rsid w:val="00D128EE"/>
    <w:rsid w:val="00D1595E"/>
    <w:rsid w:val="00D210C1"/>
    <w:rsid w:val="00D26CA1"/>
    <w:rsid w:val="00D36ADB"/>
    <w:rsid w:val="00D403EF"/>
    <w:rsid w:val="00D40DF3"/>
    <w:rsid w:val="00D468BC"/>
    <w:rsid w:val="00D46C42"/>
    <w:rsid w:val="00D51BF0"/>
    <w:rsid w:val="00D54679"/>
    <w:rsid w:val="00D64B41"/>
    <w:rsid w:val="00D7380B"/>
    <w:rsid w:val="00D7598F"/>
    <w:rsid w:val="00D832E9"/>
    <w:rsid w:val="00D900BF"/>
    <w:rsid w:val="00D96E43"/>
    <w:rsid w:val="00DA0DCA"/>
    <w:rsid w:val="00DA4938"/>
    <w:rsid w:val="00DA6F99"/>
    <w:rsid w:val="00DB4F4A"/>
    <w:rsid w:val="00DC246B"/>
    <w:rsid w:val="00DD21E8"/>
    <w:rsid w:val="00DD2E05"/>
    <w:rsid w:val="00DD625B"/>
    <w:rsid w:val="00DD7344"/>
    <w:rsid w:val="00DE4D8F"/>
    <w:rsid w:val="00DE5F02"/>
    <w:rsid w:val="00DF1E1E"/>
    <w:rsid w:val="00DF37FB"/>
    <w:rsid w:val="00DF38CA"/>
    <w:rsid w:val="00DF4467"/>
    <w:rsid w:val="00DF518C"/>
    <w:rsid w:val="00DF64FC"/>
    <w:rsid w:val="00E013B2"/>
    <w:rsid w:val="00E03FE0"/>
    <w:rsid w:val="00E13066"/>
    <w:rsid w:val="00E1491F"/>
    <w:rsid w:val="00E158A4"/>
    <w:rsid w:val="00E161DE"/>
    <w:rsid w:val="00E232D8"/>
    <w:rsid w:val="00E24C02"/>
    <w:rsid w:val="00E26527"/>
    <w:rsid w:val="00E3025F"/>
    <w:rsid w:val="00E328AF"/>
    <w:rsid w:val="00E36A51"/>
    <w:rsid w:val="00E44FC5"/>
    <w:rsid w:val="00E45DBB"/>
    <w:rsid w:val="00E467EA"/>
    <w:rsid w:val="00E52B6B"/>
    <w:rsid w:val="00E600E4"/>
    <w:rsid w:val="00E7166D"/>
    <w:rsid w:val="00E763CF"/>
    <w:rsid w:val="00E87BB4"/>
    <w:rsid w:val="00E915FB"/>
    <w:rsid w:val="00E934B1"/>
    <w:rsid w:val="00E9439B"/>
    <w:rsid w:val="00E97AD1"/>
    <w:rsid w:val="00E97D48"/>
    <w:rsid w:val="00EA586E"/>
    <w:rsid w:val="00EC23A1"/>
    <w:rsid w:val="00EC3931"/>
    <w:rsid w:val="00EC7619"/>
    <w:rsid w:val="00ED0FA4"/>
    <w:rsid w:val="00EE5438"/>
    <w:rsid w:val="00EE6373"/>
    <w:rsid w:val="00EE7C53"/>
    <w:rsid w:val="00EF7658"/>
    <w:rsid w:val="00F00927"/>
    <w:rsid w:val="00F04BD2"/>
    <w:rsid w:val="00F05FB1"/>
    <w:rsid w:val="00F0766E"/>
    <w:rsid w:val="00F12404"/>
    <w:rsid w:val="00F151EF"/>
    <w:rsid w:val="00F169EA"/>
    <w:rsid w:val="00F20550"/>
    <w:rsid w:val="00F20D43"/>
    <w:rsid w:val="00F212E0"/>
    <w:rsid w:val="00F2604D"/>
    <w:rsid w:val="00F34B07"/>
    <w:rsid w:val="00F375D9"/>
    <w:rsid w:val="00F41E4D"/>
    <w:rsid w:val="00F426CD"/>
    <w:rsid w:val="00F432FB"/>
    <w:rsid w:val="00F47B5A"/>
    <w:rsid w:val="00F60DB0"/>
    <w:rsid w:val="00F6740B"/>
    <w:rsid w:val="00F812B6"/>
    <w:rsid w:val="00F81674"/>
    <w:rsid w:val="00F82617"/>
    <w:rsid w:val="00F84E00"/>
    <w:rsid w:val="00F84E62"/>
    <w:rsid w:val="00F86672"/>
    <w:rsid w:val="00F87EF4"/>
    <w:rsid w:val="00F9281D"/>
    <w:rsid w:val="00F94ACA"/>
    <w:rsid w:val="00F95B69"/>
    <w:rsid w:val="00FA6CF0"/>
    <w:rsid w:val="00FA774A"/>
    <w:rsid w:val="00FB12BF"/>
    <w:rsid w:val="00FB25CA"/>
    <w:rsid w:val="00FB5692"/>
    <w:rsid w:val="00FB67DA"/>
    <w:rsid w:val="00FE060D"/>
    <w:rsid w:val="00FE0CCD"/>
    <w:rsid w:val="00FE1EE3"/>
    <w:rsid w:val="00FE2CD7"/>
    <w:rsid w:val="00FE3C69"/>
    <w:rsid w:val="00FF0410"/>
    <w:rsid w:val="00FF1568"/>
    <w:rsid w:val="00FF2A0B"/>
    <w:rsid w:val="00FF2AB3"/>
    <w:rsid w:val="00FF5670"/>
    <w:rsid w:val="00FF6E6E"/>
    <w:rsid w:val="06351B0C"/>
    <w:rsid w:val="112C520C"/>
    <w:rsid w:val="134246D6"/>
    <w:rsid w:val="143759F3"/>
    <w:rsid w:val="150C4363"/>
    <w:rsid w:val="1DE17CBE"/>
    <w:rsid w:val="1E2A19CE"/>
    <w:rsid w:val="1F862F23"/>
    <w:rsid w:val="25396F5E"/>
    <w:rsid w:val="2667501A"/>
    <w:rsid w:val="2F8828BD"/>
    <w:rsid w:val="312F42D2"/>
    <w:rsid w:val="33225768"/>
    <w:rsid w:val="3E7E3B4C"/>
    <w:rsid w:val="49FE32B8"/>
    <w:rsid w:val="4C2473D2"/>
    <w:rsid w:val="65204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5">
    <w:name w:val="annotation text"/>
    <w:basedOn w:val="1"/>
    <w:link w:val="23"/>
    <w:unhideWhenUsed/>
    <w:qFormat/>
    <w:uiPriority w:val="0"/>
    <w:pPr>
      <w:jc w:val="left"/>
    </w:pPr>
  </w:style>
  <w:style w:type="paragraph" w:styleId="6">
    <w:name w:val="toc 3"/>
    <w:basedOn w:val="1"/>
    <w:next w:val="1"/>
    <w:unhideWhenUsed/>
    <w:qFormat/>
    <w:uiPriority w:val="39"/>
    <w:pPr>
      <w:ind w:left="840" w:leftChars="400"/>
    </w:pPr>
  </w:style>
  <w:style w:type="paragraph" w:styleId="7">
    <w:name w:val="Balloon Text"/>
    <w:basedOn w:val="1"/>
    <w:link w:val="25"/>
    <w:semiHidden/>
    <w:unhideWhenUsed/>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sz w:val="18"/>
      <w:szCs w:val="20"/>
    </w:rPr>
  </w:style>
  <w:style w:type="paragraph" w:styleId="9">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footnote text"/>
    <w:basedOn w:val="1"/>
    <w:link w:val="28"/>
    <w:semiHidden/>
    <w:unhideWhenUsed/>
    <w:qFormat/>
    <w:uiPriority w:val="99"/>
    <w:pPr>
      <w:snapToGrid w:val="0"/>
      <w:jc w:val="left"/>
    </w:pPr>
    <w:rPr>
      <w:sz w:val="18"/>
      <w:szCs w:val="18"/>
    </w:rPr>
  </w:style>
  <w:style w:type="paragraph" w:styleId="12">
    <w:name w:val="toc 2"/>
    <w:basedOn w:val="1"/>
    <w:next w:val="1"/>
    <w:unhideWhenUsed/>
    <w:qFormat/>
    <w:uiPriority w:val="39"/>
    <w:pPr>
      <w:ind w:left="420" w:leftChars="200"/>
    </w:pPr>
  </w:style>
  <w:style w:type="paragraph" w:styleId="13">
    <w:name w:val="Normal (Web)"/>
    <w:basedOn w:val="1"/>
    <w:semiHidden/>
    <w:unhideWhenUsed/>
    <w:qFormat/>
    <w:uiPriority w:val="99"/>
    <w:pPr>
      <w:spacing w:beforeAutospacing="1" w:afterAutospacing="1"/>
      <w:jc w:val="left"/>
    </w:pPr>
    <w:rPr>
      <w:kern w:val="0"/>
      <w:sz w:val="24"/>
    </w:rPr>
  </w:style>
  <w:style w:type="paragraph" w:styleId="14">
    <w:name w:val="annotation subject"/>
    <w:basedOn w:val="5"/>
    <w:next w:val="5"/>
    <w:link w:val="24"/>
    <w:semiHidden/>
    <w:unhideWhenUsed/>
    <w:qFormat/>
    <w:uiPriority w:val="99"/>
    <w:rPr>
      <w:b/>
      <w:bCs/>
    </w:rPr>
  </w:style>
  <w:style w:type="table" w:styleId="16">
    <w:name w:val="Table Grid"/>
    <w:basedOn w:val="15"/>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unhideWhenUsed/>
    <w:qFormat/>
    <w:uiPriority w:val="0"/>
    <w:rPr>
      <w:sz w:val="21"/>
      <w:szCs w:val="21"/>
    </w:rPr>
  </w:style>
  <w:style w:type="character" w:styleId="20">
    <w:name w:val="footnote reference"/>
    <w:basedOn w:val="17"/>
    <w:semiHidden/>
    <w:unhideWhenUsed/>
    <w:qFormat/>
    <w:uiPriority w:val="99"/>
    <w:rPr>
      <w:vertAlign w:val="superscript"/>
    </w:rPr>
  </w:style>
  <w:style w:type="character" w:customStyle="1" w:styleId="21">
    <w:name w:val="页脚 字符"/>
    <w:basedOn w:val="17"/>
    <w:link w:val="8"/>
    <w:qFormat/>
    <w:uiPriority w:val="99"/>
    <w:rPr>
      <w:rFonts w:ascii="Times New Roman" w:hAnsi="Times New Roman" w:eastAsia="宋体" w:cs="Times New Roman"/>
      <w:sz w:val="18"/>
      <w:szCs w:val="20"/>
    </w:rPr>
  </w:style>
  <w:style w:type="character" w:customStyle="1" w:styleId="22">
    <w:name w:val="页眉 字符"/>
    <w:basedOn w:val="17"/>
    <w:link w:val="9"/>
    <w:qFormat/>
    <w:uiPriority w:val="99"/>
    <w:rPr>
      <w:rFonts w:ascii="Times New Roman" w:hAnsi="Times New Roman" w:eastAsia="宋体" w:cs="Times New Roman"/>
      <w:sz w:val="18"/>
      <w:szCs w:val="18"/>
    </w:rPr>
  </w:style>
  <w:style w:type="character" w:customStyle="1" w:styleId="23">
    <w:name w:val="批注文字 字符"/>
    <w:basedOn w:val="17"/>
    <w:link w:val="5"/>
    <w:qFormat/>
    <w:uiPriority w:val="0"/>
    <w:rPr>
      <w:rFonts w:ascii="Times New Roman" w:hAnsi="Times New Roman" w:eastAsia="宋体" w:cs="Times New Roman"/>
      <w:szCs w:val="24"/>
    </w:rPr>
  </w:style>
  <w:style w:type="character" w:customStyle="1" w:styleId="24">
    <w:name w:val="批注主题 字符"/>
    <w:basedOn w:val="23"/>
    <w:link w:val="14"/>
    <w:semiHidden/>
    <w:qFormat/>
    <w:uiPriority w:val="99"/>
    <w:rPr>
      <w:rFonts w:ascii="Times New Roman" w:hAnsi="Times New Roman" w:eastAsia="宋体" w:cs="Times New Roman"/>
      <w:b/>
      <w:bCs/>
      <w:szCs w:val="24"/>
    </w:rPr>
  </w:style>
  <w:style w:type="character" w:customStyle="1" w:styleId="25">
    <w:name w:val="批注框文本 字符"/>
    <w:basedOn w:val="17"/>
    <w:link w:val="7"/>
    <w:semiHidden/>
    <w:qFormat/>
    <w:uiPriority w:val="99"/>
    <w:rPr>
      <w:rFonts w:ascii="Times New Roman" w:hAnsi="Times New Roman" w:eastAsia="宋体" w:cs="Times New Roman"/>
      <w:sz w:val="18"/>
      <w:szCs w:val="18"/>
    </w:rPr>
  </w:style>
  <w:style w:type="character" w:customStyle="1" w:styleId="26">
    <w:name w:val="批注文字 Char"/>
    <w:qFormat/>
    <w:uiPriority w:val="0"/>
    <w:rPr>
      <w:rFonts w:eastAsia="仿宋_GB2312"/>
      <w:kern w:val="2"/>
      <w:sz w:val="30"/>
      <w:szCs w:val="24"/>
    </w:rPr>
  </w:style>
  <w:style w:type="paragraph" w:customStyle="1" w:styleId="27">
    <w:name w:val="仿宋三号"/>
    <w:basedOn w:val="1"/>
    <w:qFormat/>
    <w:uiPriority w:val="0"/>
    <w:pPr>
      <w:spacing w:line="560" w:lineRule="exact"/>
      <w:ind w:firstLine="640" w:firstLineChars="200"/>
    </w:pPr>
    <w:rPr>
      <w:rFonts w:ascii="仿宋_GB2312" w:hAnsi="Calibri" w:eastAsia="仿宋_GB2312"/>
      <w:sz w:val="36"/>
      <w:szCs w:val="32"/>
    </w:rPr>
  </w:style>
  <w:style w:type="character" w:customStyle="1" w:styleId="28">
    <w:name w:val="脚注文本 字符"/>
    <w:basedOn w:val="17"/>
    <w:link w:val="11"/>
    <w:semiHidden/>
    <w:qFormat/>
    <w:uiPriority w:val="99"/>
    <w:rPr>
      <w:kern w:val="2"/>
      <w:sz w:val="18"/>
      <w:szCs w:val="18"/>
    </w:rPr>
  </w:style>
  <w:style w:type="character" w:customStyle="1" w:styleId="29">
    <w:name w:val="标题 1 字符"/>
    <w:basedOn w:val="17"/>
    <w:link w:val="3"/>
    <w:qFormat/>
    <w:uiPriority w:val="9"/>
    <w:rPr>
      <w:b/>
      <w:bCs/>
      <w:kern w:val="44"/>
      <w:sz w:val="44"/>
      <w:szCs w:val="44"/>
    </w:rPr>
  </w:style>
  <w:style w:type="paragraph" w:customStyle="1" w:styleId="30">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1">
    <w:name w:val="NormalCharacter"/>
    <w:qFormat/>
    <w:uiPriority w:val="0"/>
  </w:style>
  <w:style w:type="character" w:customStyle="1" w:styleId="32">
    <w:name w:val="标题 2 字符"/>
    <w:basedOn w:val="17"/>
    <w:link w:val="4"/>
    <w:semiHidden/>
    <w:qFormat/>
    <w:uiPriority w:val="9"/>
    <w:rPr>
      <w:rFonts w:asciiTheme="majorHAnsi" w:hAnsiTheme="majorHAnsi" w:eastAsiaTheme="majorEastAsia" w:cstheme="majorBidi"/>
      <w:b/>
      <w:bCs/>
      <w:kern w:val="2"/>
      <w:sz w:val="32"/>
      <w:szCs w:val="32"/>
    </w:rPr>
  </w:style>
  <w:style w:type="paragraph" w:customStyle="1" w:styleId="33">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34">
    <w:name w:val="font01"/>
    <w:basedOn w:val="17"/>
    <w:uiPriority w:val="0"/>
    <w:rPr>
      <w:rFonts w:hint="eastAsia" w:ascii="宋体" w:hAnsi="宋体" w:eastAsia="宋体" w:cs="宋体"/>
      <w:color w:val="000000"/>
      <w:sz w:val="20"/>
      <w:szCs w:val="20"/>
      <w:u w:val="none"/>
    </w:rPr>
  </w:style>
  <w:style w:type="character" w:customStyle="1" w:styleId="35">
    <w:name w:val="font71"/>
    <w:basedOn w:val="17"/>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21E10-9494-4613-BC3D-032819B7043E}">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13786</Words>
  <Characters>14579</Characters>
  <Lines>22</Lines>
  <Paragraphs>32</Paragraphs>
  <TotalTime>1</TotalTime>
  <ScaleCrop>false</ScaleCrop>
  <LinksUpToDate>false</LinksUpToDate>
  <CharactersWithSpaces>14599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2022-06-06T03:09:00Z</dcterms:created>
  <dc:creator>Administrator</dc:creator>
  <cp:lastModifiedBy>Administrator</cp:lastModifiedBy>
  <cp:lastPrinted>2022-05-26T23:49:00Z</cp:lastPrinted>
  <dcterms:modified xsi:type="dcterms:W3CDTF">2022-08-25T07:24:03Z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F8691CE24A6742D7BE4076498F636B78</vt:lpwstr>
  </property>
</Properties>
</file>