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7226" w:rsidRPr="007C7BA0" w:rsidRDefault="007C7BA0">
      <w:pPr>
        <w:rPr>
          <w:rFonts w:ascii="黑体" w:eastAsia="黑体" w:hAnsi="黑体" w:hint="eastAsia"/>
          <w:sz w:val="32"/>
          <w:szCs w:val="32"/>
        </w:rPr>
      </w:pPr>
      <w:r w:rsidRPr="007C7BA0">
        <w:rPr>
          <w:rFonts w:ascii="黑体" w:eastAsia="黑体" w:hAnsi="黑体" w:hint="eastAsia"/>
          <w:sz w:val="32"/>
          <w:szCs w:val="32"/>
        </w:rPr>
        <w:t>附件1：</w:t>
      </w:r>
    </w:p>
    <w:p w:rsidR="007E7226" w:rsidRDefault="007E7226" w:rsidP="007E7226">
      <w:pPr>
        <w:snapToGrid w:val="0"/>
        <w:jc w:val="center"/>
        <w:rPr>
          <w:rFonts w:ascii="小标宋" w:eastAsia="小标宋"/>
          <w:sz w:val="44"/>
          <w:szCs w:val="44"/>
        </w:rPr>
      </w:pPr>
      <w:r w:rsidRPr="00E93841">
        <w:rPr>
          <w:rFonts w:ascii="小标宋" w:eastAsia="小标宋" w:hint="eastAsia"/>
          <w:sz w:val="44"/>
          <w:szCs w:val="44"/>
        </w:rPr>
        <w:t>2020年高端科技创新</w:t>
      </w:r>
      <w:proofErr w:type="gramStart"/>
      <w:r w:rsidRPr="00E93841">
        <w:rPr>
          <w:rFonts w:ascii="小标宋" w:eastAsia="小标宋" w:hint="eastAsia"/>
          <w:sz w:val="44"/>
          <w:szCs w:val="44"/>
        </w:rPr>
        <w:t>智库青年</w:t>
      </w:r>
      <w:proofErr w:type="gramEnd"/>
      <w:r w:rsidRPr="00E93841">
        <w:rPr>
          <w:rFonts w:ascii="小标宋" w:eastAsia="小标宋" w:hint="eastAsia"/>
          <w:sz w:val="44"/>
          <w:szCs w:val="44"/>
        </w:rPr>
        <w:t>项目</w:t>
      </w:r>
    </w:p>
    <w:p w:rsidR="007E7226" w:rsidRPr="00E93841" w:rsidRDefault="007E7226" w:rsidP="007E7226">
      <w:pPr>
        <w:snapToGrid w:val="0"/>
        <w:jc w:val="center"/>
        <w:rPr>
          <w:rFonts w:ascii="小标宋" w:eastAsia="小标宋"/>
          <w:sz w:val="44"/>
          <w:szCs w:val="44"/>
        </w:rPr>
      </w:pPr>
      <w:r>
        <w:rPr>
          <w:rFonts w:ascii="小标宋" w:eastAsia="小标宋" w:hint="eastAsia"/>
          <w:sz w:val="44"/>
          <w:szCs w:val="44"/>
        </w:rPr>
        <w:t>延期申报</w:t>
      </w:r>
      <w:r w:rsidRPr="00E93841">
        <w:rPr>
          <w:rFonts w:ascii="小标宋" w:eastAsia="小标宋" w:hint="eastAsia"/>
          <w:sz w:val="44"/>
          <w:szCs w:val="44"/>
        </w:rPr>
        <w:t>课题清单</w:t>
      </w:r>
    </w:p>
    <w:p w:rsidR="007E7226" w:rsidRDefault="007E7226" w:rsidP="007E7226">
      <w:bookmarkStart w:id="0" w:name="_GoBack"/>
      <w:bookmarkEnd w:id="0"/>
    </w:p>
    <w:p w:rsidR="007E7226" w:rsidRDefault="007E7226" w:rsidP="007E7226"/>
    <w:tbl>
      <w:tblPr>
        <w:tblW w:w="8520"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866"/>
        <w:gridCol w:w="1559"/>
        <w:gridCol w:w="6095"/>
      </w:tblGrid>
      <w:tr w:rsidR="007E7226" w:rsidRPr="005963EA" w:rsidTr="007E7226">
        <w:trPr>
          <w:trHeight w:val="780"/>
        </w:trPr>
        <w:tc>
          <w:tcPr>
            <w:tcW w:w="866" w:type="dxa"/>
            <w:shd w:val="clear" w:color="auto" w:fill="auto"/>
            <w:vAlign w:val="center"/>
            <w:hideMark/>
          </w:tcPr>
          <w:p w:rsidR="007E7226" w:rsidRPr="005963EA" w:rsidRDefault="007E7226" w:rsidP="005B0BA5">
            <w:pPr>
              <w:widowControl/>
              <w:jc w:val="center"/>
              <w:rPr>
                <w:rFonts w:ascii="宋体" w:eastAsia="宋体" w:hAnsi="宋体" w:cs="宋体"/>
                <w:b/>
                <w:bCs/>
                <w:color w:val="000000"/>
                <w:kern w:val="0"/>
                <w:sz w:val="24"/>
                <w:szCs w:val="24"/>
              </w:rPr>
            </w:pPr>
            <w:r>
              <w:rPr>
                <w:rFonts w:ascii="宋体" w:eastAsia="宋体" w:hAnsi="宋体" w:cs="宋体" w:hint="eastAsia"/>
                <w:b/>
                <w:bCs/>
                <w:color w:val="000000"/>
                <w:kern w:val="0"/>
                <w:sz w:val="24"/>
                <w:szCs w:val="24"/>
              </w:rPr>
              <w:t>课题编号</w:t>
            </w:r>
          </w:p>
        </w:tc>
        <w:tc>
          <w:tcPr>
            <w:tcW w:w="1559" w:type="dxa"/>
            <w:shd w:val="clear" w:color="auto" w:fill="auto"/>
            <w:vAlign w:val="center"/>
            <w:hideMark/>
          </w:tcPr>
          <w:p w:rsidR="007E7226" w:rsidRPr="005963EA" w:rsidRDefault="007E7226" w:rsidP="005B0BA5">
            <w:pPr>
              <w:widowControl/>
              <w:jc w:val="center"/>
              <w:rPr>
                <w:rFonts w:ascii="宋体" w:eastAsia="宋体" w:hAnsi="宋体" w:cs="宋体"/>
                <w:b/>
                <w:bCs/>
                <w:color w:val="000000"/>
                <w:kern w:val="0"/>
                <w:sz w:val="24"/>
                <w:szCs w:val="24"/>
              </w:rPr>
            </w:pPr>
            <w:r w:rsidRPr="005963EA">
              <w:rPr>
                <w:rFonts w:ascii="宋体" w:eastAsia="宋体" w:hAnsi="宋体" w:cs="宋体" w:hint="eastAsia"/>
                <w:b/>
                <w:bCs/>
                <w:color w:val="000000"/>
                <w:kern w:val="0"/>
                <w:sz w:val="24"/>
                <w:szCs w:val="24"/>
              </w:rPr>
              <w:t>题</w:t>
            </w:r>
            <w:r w:rsidRPr="005963EA">
              <w:rPr>
                <w:rFonts w:ascii="Calibri" w:eastAsia="宋体" w:hAnsi="Calibri" w:cs="宋体"/>
                <w:b/>
                <w:bCs/>
                <w:color w:val="000000"/>
                <w:kern w:val="0"/>
                <w:sz w:val="24"/>
                <w:szCs w:val="24"/>
              </w:rPr>
              <w:t xml:space="preserve">  </w:t>
            </w:r>
            <w:r w:rsidRPr="005963EA">
              <w:rPr>
                <w:rFonts w:ascii="宋体" w:eastAsia="宋体" w:hAnsi="宋体" w:cs="宋体" w:hint="eastAsia"/>
                <w:b/>
                <w:bCs/>
                <w:color w:val="000000"/>
                <w:kern w:val="0"/>
                <w:sz w:val="24"/>
                <w:szCs w:val="24"/>
              </w:rPr>
              <w:t>目</w:t>
            </w:r>
          </w:p>
        </w:tc>
        <w:tc>
          <w:tcPr>
            <w:tcW w:w="6095" w:type="dxa"/>
            <w:shd w:val="clear" w:color="auto" w:fill="auto"/>
            <w:vAlign w:val="center"/>
            <w:hideMark/>
          </w:tcPr>
          <w:p w:rsidR="007E7226" w:rsidRPr="005963EA" w:rsidRDefault="007E7226" w:rsidP="005B0BA5">
            <w:pPr>
              <w:widowControl/>
              <w:jc w:val="center"/>
              <w:rPr>
                <w:rFonts w:ascii="宋体" w:eastAsia="宋体" w:hAnsi="宋体" w:cs="宋体"/>
                <w:b/>
                <w:bCs/>
                <w:color w:val="000000"/>
                <w:kern w:val="0"/>
                <w:sz w:val="24"/>
                <w:szCs w:val="24"/>
              </w:rPr>
            </w:pPr>
            <w:r w:rsidRPr="005963EA">
              <w:rPr>
                <w:rFonts w:ascii="宋体" w:eastAsia="宋体" w:hAnsi="宋体" w:cs="宋体" w:hint="eastAsia"/>
                <w:b/>
                <w:bCs/>
                <w:color w:val="000000"/>
                <w:kern w:val="0"/>
                <w:sz w:val="24"/>
                <w:szCs w:val="24"/>
              </w:rPr>
              <w:t>研究内容</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1</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我国科学家在抗击疫情期间的贡献研究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抗击新冠肺炎疫情期间，我国科学家做出重要贡献，在科研攻坚、知识科普、建言献策等方面发挥着重要作用。课题要求，梳理我国科学家在抗击疫情期间所做贡献的外延与内涵，研究相关贡献在社会公众间传播的广度，识别不同贡献在不同社会群体间的传播路径，进而对我国科学家在抗击疫情期间的贡献进行评估，并提出进一步调动科学家科研积极性、鼓励科学家做出可持续社会贡献的政策建议。</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2</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中国科学家在重大公共事件中的社会责任——以新冠肺炎疫情为例的研究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科学家的社会责任是科学文化的重要研究对象。课题要求，对我国科学家在疫情下的行为表现进行典型案例分析，提出科学家在重大公共事件中的社会责任的概念与内涵、影响科学家履行社会责任的内在机制、培育科学家社会责任感的方法等理论问题，形成重大公共事件中规范科学家行为、加强科研协作、引导公共舆论等方面的政策建议。</w:t>
            </w:r>
            <w:r w:rsidRPr="005963EA">
              <w:rPr>
                <w:rFonts w:ascii="Calibri" w:eastAsia="宋体" w:hAnsi="Calibri" w:cs="宋体"/>
                <w:color w:val="000000"/>
                <w:kern w:val="0"/>
                <w:szCs w:val="21"/>
              </w:rPr>
              <w:t xml:space="preserve"> </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4</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疫病叙事与知识：疫情中的社会反应研究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重大疫病对社会公众带来广泛和深刻影响。课题要求，结合历史案例，分析重大疫情给当时社会带来怎样的短期或者长期影响，分析医生等专业人员、政府决策者、新闻媒体等如何形塑大众的疫病想象，通过对近现代中国公共卫生制度形成之分析，提出有效引导社会公众理性和提升科学素质的建议意见。</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5</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中国疾病预防控制中心的建立与发展研究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国家疾病预防控制中心（</w:t>
            </w:r>
            <w:r w:rsidRPr="005963EA">
              <w:rPr>
                <w:rFonts w:ascii="Calibri" w:eastAsia="宋体" w:hAnsi="Calibri" w:cs="宋体"/>
                <w:color w:val="000000"/>
                <w:kern w:val="0"/>
                <w:szCs w:val="21"/>
              </w:rPr>
              <w:t>CCDC</w:t>
            </w:r>
            <w:r w:rsidRPr="005963EA">
              <w:rPr>
                <w:rFonts w:ascii="宋体" w:eastAsia="宋体" w:hAnsi="宋体" w:cs="宋体" w:hint="eastAsia"/>
                <w:color w:val="000000"/>
                <w:kern w:val="0"/>
                <w:szCs w:val="21"/>
              </w:rPr>
              <w:t>）的建立与发展对我国医疗卫生制度完善具有重要意义。课题要求，回顾</w:t>
            </w:r>
            <w:r w:rsidRPr="005963EA">
              <w:rPr>
                <w:rFonts w:ascii="Calibri" w:eastAsia="宋体" w:hAnsi="Calibri" w:cs="宋体"/>
                <w:color w:val="000000"/>
                <w:kern w:val="0"/>
                <w:szCs w:val="21"/>
              </w:rPr>
              <w:t>CCDC</w:t>
            </w:r>
            <w:r w:rsidRPr="005963EA">
              <w:rPr>
                <w:rFonts w:ascii="宋体" w:eastAsia="宋体" w:hAnsi="宋体" w:cs="宋体" w:hint="eastAsia"/>
                <w:color w:val="000000"/>
                <w:kern w:val="0"/>
                <w:szCs w:val="21"/>
              </w:rPr>
              <w:t>发展历史，思考当前面临的挑战和机遇，探索其改革与发展之路。</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6</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援</w:t>
            </w:r>
            <w:proofErr w:type="gramStart"/>
            <w:r w:rsidRPr="005963EA">
              <w:rPr>
                <w:rFonts w:ascii="宋体" w:eastAsia="宋体" w:hAnsi="宋体" w:cs="宋体" w:hint="eastAsia"/>
                <w:color w:val="000000"/>
                <w:kern w:val="0"/>
                <w:szCs w:val="21"/>
              </w:rPr>
              <w:t>鄂国家</w:t>
            </w:r>
            <w:proofErr w:type="gramEnd"/>
            <w:r w:rsidRPr="005963EA">
              <w:rPr>
                <w:rFonts w:ascii="宋体" w:eastAsia="宋体" w:hAnsi="宋体" w:cs="宋体" w:hint="eastAsia"/>
                <w:color w:val="000000"/>
                <w:kern w:val="0"/>
                <w:szCs w:val="21"/>
              </w:rPr>
              <w:t>中医医疗队（金银潭医院）抗</w:t>
            </w:r>
            <w:proofErr w:type="gramStart"/>
            <w:r w:rsidRPr="005963EA">
              <w:rPr>
                <w:rFonts w:ascii="宋体" w:eastAsia="宋体" w:hAnsi="宋体" w:cs="宋体" w:hint="eastAsia"/>
                <w:color w:val="000000"/>
                <w:kern w:val="0"/>
                <w:szCs w:val="21"/>
              </w:rPr>
              <w:t>疫</w:t>
            </w:r>
            <w:proofErr w:type="gramEnd"/>
            <w:r w:rsidRPr="005963EA">
              <w:rPr>
                <w:rFonts w:ascii="宋体" w:eastAsia="宋体" w:hAnsi="宋体" w:cs="宋体" w:hint="eastAsia"/>
                <w:color w:val="000000"/>
                <w:kern w:val="0"/>
                <w:szCs w:val="21"/>
              </w:rPr>
              <w:t>纪实研究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使用传统医学防疫是我国的一种特色。课题要求，较为全面地及时收集、整理国家中医医疗队自新冠肺炎疫情爆发以来的资料和史实，并以第一批国家中医医疗队驻地——武汉金银潭医院为中心，分析中医疗法在防疫工作中的参与方式，以及治疗策略与社会环境的双向互动。</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lastRenderedPageBreak/>
              <w:t>10</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后疫情时代民营经济创新发展研究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民营经济是我国经济的重要组成部分。课题要求，调研新冠肺炎疫情下我国民营经济创新发展的现实困境，提炼分析后疫情时代民营经济创新发展的新需求、新挑战与新机遇，提出后疫情时代我国民营经济创新发展的路径、模式与保障措施，为助力我国民营企业以创新发展应对疫情影响提出可实施的政策建议。</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13</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突发公共卫生事件中科学场域的内在冲突与现实危机研究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重大突发公共卫生事件也会引发科学界的多重内在冲突。课题要求，基于医学史与社会学的研究路径，回溯东三省大鼠疫时期俄国学者的科学冲突之始末，对比当前新型冠状病毒事件，剖析科学场域的结构性矛盾，揭示科学内在冲突在疫情“放大镜”下凸显的主要社会因素，洞悉科学冲突在疫情中的</w:t>
            </w:r>
            <w:proofErr w:type="gramStart"/>
            <w:r w:rsidRPr="005963EA">
              <w:rPr>
                <w:rFonts w:ascii="宋体" w:eastAsia="宋体" w:hAnsi="宋体" w:cs="宋体" w:hint="eastAsia"/>
                <w:color w:val="000000"/>
                <w:kern w:val="0"/>
                <w:szCs w:val="21"/>
              </w:rPr>
              <w:t>潜功能</w:t>
            </w:r>
            <w:proofErr w:type="gramEnd"/>
            <w:r w:rsidRPr="005963EA">
              <w:rPr>
                <w:rFonts w:ascii="宋体" w:eastAsia="宋体" w:hAnsi="宋体" w:cs="宋体" w:hint="eastAsia"/>
                <w:color w:val="000000"/>
                <w:kern w:val="0"/>
                <w:szCs w:val="21"/>
              </w:rPr>
              <w:t>及其引发的现实危机，从科技管理视角，为我国今后重大突发公共卫生事件综合治理提供政策建议。</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17</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县域层面公共卫生预防机制研究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县域是我国的基层。课题要求，调研县域公共卫生资源建设情况，包括中心城区及所辖的乡镇、村等，特别是农村社区防控的现状，为建立起体系化、规范化的县域公共卫生预防机制提出政策建议。</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18</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实证主义或经验主义：公共卫生事件中的经验性知识再认识</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公共舆论对传统经验体系在疫情中的作用有不同看法。课题要求，通过收集科学传播典型案例，分析传播参与者背景信息，研究经验性知识在公共卫生事件中的地位，加强公众对生物医学知识和经验性医学知识的理解和认识，促进公共卫生决策适当、适度、务实。</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19</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我国公共卫生法治保障体系的理论与应用研究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公共卫生法理原则是公共卫生法治保障体系建设的理论坐标和逻辑基点。课题要求，以人的生命安全权和健康权为核心，以现实问题为导向，构建精细化、法治化的公共卫生法治保障体系，为传染病防治法、野生动物保护法等法律修改，生物安全立法，以及基本医疗卫生与健康促进法的实施等提供参考。</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20</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紧急公共安全事件应对的法治保障研究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“疫情防控越是到最吃劲的时候，越要坚持依法防控，在法治轨道上统筹推进各项防控工作”。课题要求，从健全立法、依法行政、多元主体利益平衡、纠纷解决等角度，提出法治保障对策建议。</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21</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我国传染病防治法中社会参与的制度化建设与完善</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传染病防治法》规定，各级人民政府应当完善有关制度，方便单位和个人参与传染病的防治。课题要求，应对紧急情况下物资、人力资源紧缺的情况，研究提出官方主导、协调社会组织参与的法律机制，有效降低突发传染病防治的常态维护成本。</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lastRenderedPageBreak/>
              <w:t>22</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突发公共卫生事件国际法的历史经验与政策建议：以国际卫生条例为中心</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应对突发公共卫生事件，必须要有法可依。课题要求，梳理突发公共卫生事件国际法对于信息通报、毒株共享等问题的框架发展历史，探讨我国应如何善用国际法维护我国在健康、国际贸易和商业方面的核心利益。</w:t>
            </w:r>
          </w:p>
        </w:tc>
      </w:tr>
      <w:tr w:rsidR="007E7226" w:rsidRPr="005963EA" w:rsidTr="007E7226">
        <w:trPr>
          <w:trHeight w:val="1656"/>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23</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敏捷治理视角</w:t>
            </w:r>
            <w:proofErr w:type="gramStart"/>
            <w:r w:rsidRPr="005963EA">
              <w:rPr>
                <w:rFonts w:ascii="宋体" w:eastAsia="宋体" w:hAnsi="宋体" w:cs="宋体" w:hint="eastAsia"/>
                <w:color w:val="000000"/>
                <w:kern w:val="0"/>
                <w:szCs w:val="21"/>
              </w:rPr>
              <w:t>下数据</w:t>
            </w:r>
            <w:proofErr w:type="gramEnd"/>
            <w:r w:rsidRPr="005963EA">
              <w:rPr>
                <w:rFonts w:ascii="宋体" w:eastAsia="宋体" w:hAnsi="宋体" w:cs="宋体" w:hint="eastAsia"/>
                <w:color w:val="000000"/>
                <w:kern w:val="0"/>
                <w:szCs w:val="21"/>
              </w:rPr>
              <w:t>治理的原则、框架与政策工具研究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敏捷治理意味着一套具有柔韧性、流动性、灵活性的行动，是区别于传统治理的一种重要思想。课题要求，在敏捷治理的视角下分析各国数据治理的现状，归纳数据治理的原则，为我国数据治理的框架和可能的政策工具提出思考和建议。</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28</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数字技术“赋能”风险社会治理：结构转型与运行机制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黑天鹅”、“灰犀牛”等各类风险事件频发，“风险社会”为社会治理带来了极大的挑战。课题要求，从理论层面（风险社会理论、治理理论等）分析风险社会的性质以及治理的困境，分析数字技术作为一种使能技术、通用目的技术、颠覆性技术等的技术本质，及其在社会治理中所发挥的作用，从协同治理等视角，解</w:t>
            </w:r>
            <w:proofErr w:type="gramStart"/>
            <w:r w:rsidRPr="005963EA">
              <w:rPr>
                <w:rFonts w:ascii="宋体" w:eastAsia="宋体" w:hAnsi="宋体" w:cs="宋体" w:hint="eastAsia"/>
                <w:color w:val="000000"/>
                <w:kern w:val="0"/>
                <w:szCs w:val="21"/>
              </w:rPr>
              <w:t>构数字</w:t>
            </w:r>
            <w:proofErr w:type="gramEnd"/>
            <w:r w:rsidRPr="005963EA">
              <w:rPr>
                <w:rFonts w:ascii="宋体" w:eastAsia="宋体" w:hAnsi="宋体" w:cs="宋体" w:hint="eastAsia"/>
                <w:color w:val="000000"/>
                <w:kern w:val="0"/>
                <w:szCs w:val="21"/>
              </w:rPr>
              <w:t>技术应用所引发的社会治理结构变化及互动关系。</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30</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政府数据安全与共享的现代化治理研究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政府由于社会公共服务职能的特殊性，已经成为全社会最重要的数据持有者。课题要求，研究政府数据的类型和范围划分，论证政府数据安全的正当性与必要性，研究域外政府数据共享的基本模式，总结政府数据面临的安全问题，</w:t>
            </w:r>
            <w:proofErr w:type="gramStart"/>
            <w:r w:rsidRPr="005963EA">
              <w:rPr>
                <w:rFonts w:ascii="宋体" w:eastAsia="宋体" w:hAnsi="宋体" w:cs="宋体" w:hint="eastAsia"/>
                <w:color w:val="000000"/>
                <w:kern w:val="0"/>
                <w:szCs w:val="21"/>
              </w:rPr>
              <w:t>规划全</w:t>
            </w:r>
            <w:proofErr w:type="gramEnd"/>
            <w:r w:rsidRPr="005963EA">
              <w:rPr>
                <w:rFonts w:ascii="宋体" w:eastAsia="宋体" w:hAnsi="宋体" w:cs="宋体" w:hint="eastAsia"/>
                <w:color w:val="000000"/>
                <w:kern w:val="0"/>
                <w:szCs w:val="21"/>
              </w:rPr>
              <w:t>生命周期导向的数据共享开放流程，进一步厘清参与数据共享的法律主体责任。</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34</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数字政府与应急管理研究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政府将数字技术与政府治理相结合。课题要求，研究在数字经济条件下的政府应急管理，包括预测危机、防范危机、处置危机、危机善后以及秩序重组等环节，提出高效率低成本实现政府应急管理的对策建议。</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35</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数据跨境流动与“一带一路”战略下的国际数字贸易新规则的形成机制研究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数据跨境流动需要建立国际数字贸易新规则。课题要求，聚焦“一带一路”战略的实施过程中，如何建设有效促进数据跨境流动的新规则体系，共享数字经济发展带来的福祉，服务人类命运共同体建设。</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38</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数字安全与数字经济发展研究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数字安全关乎数字经济健康发展。课题要求，梳理近年网络安全现状，分析互联网、物联网发展所面临的安全挑战，提出构建数字安全的规则框架，为保障数字经济发展提出针对性建议。</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lastRenderedPageBreak/>
              <w:t>39</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新工科建设与数字经济创新人才的培养</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经济发展离不开数字领域人才。课题要求，结合数字经济发展需求，分析数字领域人才队伍现状，研究概念、分类以及成长规律，研究新工科建设对数字领域人才培养的可行性，提出数字领域人才队伍建设的路径及支持政策建议。</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41</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数字经济的统计和测算方法研究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数字经济有别于传统的农业经济、工业经济等经济形态。课题要求，围绕新的数字经济统计和决算方法开展研究，为国家制定和实施数字经济发展战略提供对策建议。</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42</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数字经济下供给侧和需求侧的革新研究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我国数字经济总量占</w:t>
            </w:r>
            <w:r w:rsidRPr="005963EA">
              <w:rPr>
                <w:rFonts w:ascii="Calibri" w:eastAsia="宋体" w:hAnsi="Calibri" w:cs="宋体"/>
                <w:color w:val="000000"/>
                <w:kern w:val="0"/>
                <w:szCs w:val="21"/>
              </w:rPr>
              <w:t>GDP</w:t>
            </w:r>
            <w:r w:rsidRPr="005963EA">
              <w:rPr>
                <w:rFonts w:ascii="宋体" w:eastAsia="宋体" w:hAnsi="宋体" w:cs="宋体" w:hint="eastAsia"/>
                <w:color w:val="000000"/>
                <w:kern w:val="0"/>
                <w:szCs w:val="21"/>
              </w:rPr>
              <w:t>总值的比重在过去</w:t>
            </w:r>
            <w:r w:rsidRPr="005963EA">
              <w:rPr>
                <w:rFonts w:ascii="Calibri" w:eastAsia="宋体" w:hAnsi="Calibri" w:cs="宋体"/>
                <w:color w:val="000000"/>
                <w:kern w:val="0"/>
                <w:szCs w:val="21"/>
              </w:rPr>
              <w:t>20</w:t>
            </w:r>
            <w:r w:rsidRPr="005963EA">
              <w:rPr>
                <w:rFonts w:ascii="宋体" w:eastAsia="宋体" w:hAnsi="宋体" w:cs="宋体" w:hint="eastAsia"/>
                <w:color w:val="000000"/>
                <w:kern w:val="0"/>
                <w:szCs w:val="21"/>
              </w:rPr>
              <w:t>年内呈稳步上升趋势。课题要求，分别从供给侧和需求侧，分析对劳动力的影响和对消费者习惯养成的影响，对可能发生变革的形态及应对提出思考与建议。</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44</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智能社会治理算法设计的风险及应对</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人工智能算法应用为社会治理带来新的机遇与挑战。课题要求，分析人工智能算法在智能社会治理中面临的风险挑战，探讨社会治理中算法设计的限制和要求，并以传媒、法律等领域为案例探索合理有效的算法设计方案，为增强智能算法在社会治理中的抗风险能力提出对策与建议。</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45</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民营经济、中央权威与地方政府治理能力</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毫不动摇地支持民营经济和中小企业发展。课题要求，运用疫情防控数据，分析中央政策与区域政策落实情况，实证探究治理水平与民营经济发展的关系。</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46</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国际数据治理规则研究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据治理是当前面临的紧要问题。课题要求，围绕保障国家数据主权和数据安全，着力国际数据治理相关主体、政策和规则研究，提出国际数据治理的中国方案，提升我国在全球数据治理规则制定中的话语权，为我国数字经济发展和大数据发展战略的实施创造良好国际环境。</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47</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数据跨境流动国际治理体系研究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数据跨境流动安全事关国家数据主权安全。课题要求，研究美国、欧盟、俄罗斯等主要国家和地区的数据跨境流动治理，归纳其治理模式，总结其治理的特征、制度和规则，结合我国发展实际，提出构建中国数据跨境流动安全治理体系的对策。</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lastRenderedPageBreak/>
              <w:t>51</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科技后发国家建立伦理审查制度的社会过程研究：基于中国的案例</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科技发展过程中出现的伦理问题引起学术界的广泛关注。课题要求，探索我国伦理审查制度建立的历史过程，分析我国当前社会治理体系面临科技不确定性所呈现的主要特点，与其他国家的相关治理机制进行对比研究，为更好地发挥科技伦理审查体系的功能提供参考依据和决策支撑。</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54</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人</w:t>
            </w:r>
            <w:r w:rsidRPr="005963EA">
              <w:rPr>
                <w:rFonts w:ascii="Calibri" w:eastAsia="宋体" w:hAnsi="Calibri" w:cs="宋体"/>
                <w:color w:val="000000"/>
                <w:kern w:val="0"/>
                <w:szCs w:val="21"/>
              </w:rPr>
              <w:t>-</w:t>
            </w:r>
            <w:r w:rsidRPr="005963EA">
              <w:rPr>
                <w:rFonts w:ascii="宋体" w:eastAsia="宋体" w:hAnsi="宋体" w:cs="宋体" w:hint="eastAsia"/>
                <w:color w:val="000000"/>
                <w:kern w:val="0"/>
                <w:szCs w:val="21"/>
              </w:rPr>
              <w:t>动物嵌合体多维风险与治理研究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人</w:t>
            </w:r>
            <w:r w:rsidRPr="005963EA">
              <w:rPr>
                <w:rFonts w:ascii="Calibri" w:eastAsia="宋体" w:hAnsi="Calibri" w:cs="宋体"/>
                <w:color w:val="000000"/>
                <w:kern w:val="0"/>
                <w:szCs w:val="21"/>
              </w:rPr>
              <w:t>-</w:t>
            </w:r>
            <w:r w:rsidRPr="005963EA">
              <w:rPr>
                <w:rFonts w:ascii="宋体" w:eastAsia="宋体" w:hAnsi="宋体" w:cs="宋体" w:hint="eastAsia"/>
                <w:color w:val="000000"/>
                <w:kern w:val="0"/>
                <w:szCs w:val="21"/>
              </w:rPr>
              <w:t>动物嵌合体有巨大的科学价值和潜在的医学应用价值。课题要求，深入探讨该领域技术发展前沿、争议焦点、影响因素、具体风险、以及可能带来的挑战，在借鉴域外治理经验基础之上，结合负责任创新治理的视角，提出适合中国情境的有效治理模式。</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55</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代际公平视角下核电长期发展政策研究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核电是我国能源事业发展的重要成就之一。课题要求，立足于核能决策的长期特点，基于可持续发展原则下的代际公平视角，重点关注中国核电站的延寿、退役及核废料处置政策，从社会冲突、科学伦理、风险治理、环境正义等多个角度深入探讨我国核电长期发展政策的合理性、可行性及有效性。</w:t>
            </w:r>
          </w:p>
        </w:tc>
      </w:tr>
      <w:tr w:rsidR="007E7226" w:rsidRPr="005963EA" w:rsidTr="007E7226">
        <w:trPr>
          <w:trHeight w:val="1800"/>
        </w:trPr>
        <w:tc>
          <w:tcPr>
            <w:tcW w:w="866" w:type="dxa"/>
            <w:shd w:val="clear" w:color="auto" w:fill="auto"/>
            <w:vAlign w:val="center"/>
            <w:hideMark/>
          </w:tcPr>
          <w:p w:rsidR="007E7226" w:rsidRPr="005963EA" w:rsidRDefault="007E7226" w:rsidP="005B0BA5">
            <w:pPr>
              <w:widowControl/>
              <w:jc w:val="center"/>
              <w:rPr>
                <w:rFonts w:ascii="Calibri" w:eastAsia="宋体" w:hAnsi="Calibri" w:cs="宋体"/>
                <w:color w:val="000000"/>
                <w:kern w:val="0"/>
                <w:szCs w:val="21"/>
              </w:rPr>
            </w:pPr>
            <w:r w:rsidRPr="005963EA">
              <w:rPr>
                <w:rFonts w:ascii="Calibri" w:eastAsia="宋体" w:hAnsi="Calibri" w:cs="宋体"/>
                <w:color w:val="000000"/>
                <w:kern w:val="0"/>
                <w:szCs w:val="21"/>
              </w:rPr>
              <w:t>57</w:t>
            </w:r>
          </w:p>
        </w:tc>
        <w:tc>
          <w:tcPr>
            <w:tcW w:w="1559"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劳动力市场分割视角下的要素市场改革研究</w:t>
            </w:r>
          </w:p>
        </w:tc>
        <w:tc>
          <w:tcPr>
            <w:tcW w:w="6095" w:type="dxa"/>
            <w:shd w:val="clear" w:color="auto" w:fill="auto"/>
            <w:vAlign w:val="center"/>
            <w:hideMark/>
          </w:tcPr>
          <w:p w:rsidR="007E7226" w:rsidRPr="005963EA" w:rsidRDefault="007E7226" w:rsidP="005B0BA5">
            <w:pPr>
              <w:widowControl/>
              <w:rPr>
                <w:rFonts w:ascii="宋体" w:eastAsia="宋体" w:hAnsi="宋体" w:cs="宋体"/>
                <w:color w:val="000000"/>
                <w:kern w:val="0"/>
                <w:szCs w:val="21"/>
              </w:rPr>
            </w:pPr>
            <w:r w:rsidRPr="005963EA">
              <w:rPr>
                <w:rFonts w:ascii="宋体" w:eastAsia="宋体" w:hAnsi="宋体" w:cs="宋体" w:hint="eastAsia"/>
                <w:color w:val="000000"/>
                <w:kern w:val="0"/>
                <w:szCs w:val="21"/>
              </w:rPr>
              <w:t>要素市场化改革是我国目前经济体制改革的重点。课题要求，梳理我国劳动力市场分割的历史沿革与现实表现，并以此为突破点开展实证研究，分析劳动力自由流动、劳动力市场分割的障碍，提出劳动力市场化改革路径，为我国推进要素市场化改革提供决策参考。</w:t>
            </w:r>
          </w:p>
        </w:tc>
      </w:tr>
    </w:tbl>
    <w:p w:rsidR="007E7226" w:rsidRPr="005963EA" w:rsidRDefault="007E7226" w:rsidP="007E7226"/>
    <w:p w:rsidR="007E7226" w:rsidRPr="007E7226" w:rsidRDefault="007E7226"/>
    <w:sectPr w:rsidR="007E7226" w:rsidRPr="007E722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5A1B" w:rsidRDefault="00205A1B" w:rsidP="00B112E3">
      <w:r>
        <w:separator/>
      </w:r>
    </w:p>
  </w:endnote>
  <w:endnote w:type="continuationSeparator" w:id="0">
    <w:p w:rsidR="00205A1B" w:rsidRDefault="00205A1B" w:rsidP="00B112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小标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8250136"/>
      <w:docPartObj>
        <w:docPartGallery w:val="Page Numbers (Bottom of Page)"/>
        <w:docPartUnique/>
      </w:docPartObj>
    </w:sdtPr>
    <w:sdtContent>
      <w:p w:rsidR="00B112E3" w:rsidRDefault="00B112E3">
        <w:pPr>
          <w:pStyle w:val="a4"/>
          <w:jc w:val="center"/>
        </w:pPr>
        <w:r>
          <w:fldChar w:fldCharType="begin"/>
        </w:r>
        <w:r>
          <w:instrText>PAGE   \* MERGEFORMAT</w:instrText>
        </w:r>
        <w:r>
          <w:fldChar w:fldCharType="separate"/>
        </w:r>
        <w:r w:rsidR="007C7BA0" w:rsidRPr="007C7BA0">
          <w:rPr>
            <w:noProof/>
            <w:lang w:val="zh-CN"/>
          </w:rPr>
          <w:t>5</w:t>
        </w:r>
        <w:r>
          <w:fldChar w:fldCharType="end"/>
        </w:r>
      </w:p>
    </w:sdtContent>
  </w:sdt>
  <w:p w:rsidR="00B112E3" w:rsidRDefault="00B112E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5A1B" w:rsidRDefault="00205A1B" w:rsidP="00B112E3">
      <w:r>
        <w:separator/>
      </w:r>
    </w:p>
  </w:footnote>
  <w:footnote w:type="continuationSeparator" w:id="0">
    <w:p w:rsidR="00205A1B" w:rsidRDefault="00205A1B" w:rsidP="00B112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226"/>
    <w:rsid w:val="001F3022"/>
    <w:rsid w:val="00205A1B"/>
    <w:rsid w:val="005D78F8"/>
    <w:rsid w:val="007C7BA0"/>
    <w:rsid w:val="007E7226"/>
    <w:rsid w:val="00872499"/>
    <w:rsid w:val="00B112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22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112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112E3"/>
    <w:rPr>
      <w:sz w:val="18"/>
      <w:szCs w:val="18"/>
    </w:rPr>
  </w:style>
  <w:style w:type="paragraph" w:styleId="a4">
    <w:name w:val="footer"/>
    <w:basedOn w:val="a"/>
    <w:link w:val="Char0"/>
    <w:uiPriority w:val="99"/>
    <w:unhideWhenUsed/>
    <w:rsid w:val="00B112E3"/>
    <w:pPr>
      <w:tabs>
        <w:tab w:val="center" w:pos="4153"/>
        <w:tab w:val="right" w:pos="8306"/>
      </w:tabs>
      <w:snapToGrid w:val="0"/>
      <w:jc w:val="left"/>
    </w:pPr>
    <w:rPr>
      <w:sz w:val="18"/>
      <w:szCs w:val="18"/>
    </w:rPr>
  </w:style>
  <w:style w:type="character" w:customStyle="1" w:styleId="Char0">
    <w:name w:val="页脚 Char"/>
    <w:basedOn w:val="a0"/>
    <w:link w:val="a4"/>
    <w:uiPriority w:val="99"/>
    <w:rsid w:val="00B112E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22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112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112E3"/>
    <w:rPr>
      <w:sz w:val="18"/>
      <w:szCs w:val="18"/>
    </w:rPr>
  </w:style>
  <w:style w:type="paragraph" w:styleId="a4">
    <w:name w:val="footer"/>
    <w:basedOn w:val="a"/>
    <w:link w:val="Char0"/>
    <w:uiPriority w:val="99"/>
    <w:unhideWhenUsed/>
    <w:rsid w:val="00B112E3"/>
    <w:pPr>
      <w:tabs>
        <w:tab w:val="center" w:pos="4153"/>
        <w:tab w:val="right" w:pos="8306"/>
      </w:tabs>
      <w:snapToGrid w:val="0"/>
      <w:jc w:val="left"/>
    </w:pPr>
    <w:rPr>
      <w:sz w:val="18"/>
      <w:szCs w:val="18"/>
    </w:rPr>
  </w:style>
  <w:style w:type="character" w:customStyle="1" w:styleId="Char0">
    <w:name w:val="页脚 Char"/>
    <w:basedOn w:val="a0"/>
    <w:link w:val="a4"/>
    <w:uiPriority w:val="99"/>
    <w:rsid w:val="00B112E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636</Words>
  <Characters>3629</Characters>
  <Application>Microsoft Office Word</Application>
  <DocSecurity>0</DocSecurity>
  <Lines>30</Lines>
  <Paragraphs>8</Paragraphs>
  <ScaleCrop>false</ScaleCrop>
  <Company/>
  <LinksUpToDate>false</LinksUpToDate>
  <CharactersWithSpaces>4257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5</cp:revision>
  <dcterms:created xsi:type="dcterms:W3CDTF">2020-07-20T02:00:00Z</dcterms:created>
  <dcterms:modified xsi:type="dcterms:W3CDTF">2020-07-20T02:12:00Z</dcterms:modified>
</cp:coreProperties>
</file>